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5EB3D" w14:textId="77777777" w:rsidR="00950555" w:rsidRPr="00A64045" w:rsidRDefault="0039113F" w:rsidP="00FB3861">
      <w:pPr>
        <w:pStyle w:val="a7"/>
        <w:ind w:left="0"/>
        <w:rPr>
          <w:sz w:val="32"/>
          <w:szCs w:val="32"/>
        </w:rPr>
      </w:pPr>
      <w:r w:rsidRPr="00A64045">
        <w:rPr>
          <w:sz w:val="32"/>
          <w:szCs w:val="32"/>
        </w:rPr>
        <w:t>Πανελλαδική έρευνα RE/MAX Ελλάς</w:t>
      </w:r>
      <w:r w:rsidR="00C3433B" w:rsidRPr="00A64045">
        <w:rPr>
          <w:sz w:val="32"/>
          <w:szCs w:val="32"/>
        </w:rPr>
        <w:t xml:space="preserve">: Προφίλ </w:t>
      </w:r>
      <w:r w:rsidR="009C7C3B" w:rsidRPr="00A64045">
        <w:rPr>
          <w:sz w:val="32"/>
          <w:szCs w:val="32"/>
        </w:rPr>
        <w:t xml:space="preserve">αγοραπωλησιών </w:t>
      </w:r>
      <w:r w:rsidR="00C3433B" w:rsidRPr="00A64045">
        <w:rPr>
          <w:sz w:val="32"/>
          <w:szCs w:val="32"/>
        </w:rPr>
        <w:t>ακινήτων βάσει τετραγωνικών</w:t>
      </w:r>
    </w:p>
    <w:p w14:paraId="60A6720D" w14:textId="7DE6E644" w:rsidR="000179B9" w:rsidRPr="00A64045" w:rsidRDefault="00FB3861" w:rsidP="000C60BF">
      <w:pPr>
        <w:tabs>
          <w:tab w:val="right" w:pos="9639"/>
        </w:tabs>
        <w:spacing w:before="120" w:after="120" w:line="360" w:lineRule="auto"/>
        <w:rPr>
          <w:sz w:val="24"/>
          <w:szCs w:val="24"/>
        </w:rPr>
      </w:pPr>
      <w:r w:rsidRPr="00A64045">
        <w:rPr>
          <w:sz w:val="24"/>
          <w:szCs w:val="24"/>
        </w:rPr>
        <w:t xml:space="preserve">Τη σταδιακή «στροφή» των </w:t>
      </w:r>
      <w:r w:rsidR="000179B9" w:rsidRPr="00A64045">
        <w:rPr>
          <w:sz w:val="24"/>
          <w:szCs w:val="24"/>
        </w:rPr>
        <w:t xml:space="preserve">ενδιαφερόμενων </w:t>
      </w:r>
      <w:r w:rsidRPr="00A64045">
        <w:rPr>
          <w:sz w:val="24"/>
          <w:szCs w:val="24"/>
        </w:rPr>
        <w:t>αγοραστών ακινήτων σε μεγαλύτερες κατοικίες</w:t>
      </w:r>
      <w:r w:rsidR="008D1153" w:rsidRPr="00A64045">
        <w:rPr>
          <w:sz w:val="24"/>
          <w:szCs w:val="24"/>
        </w:rPr>
        <w:t>,</w:t>
      </w:r>
      <w:r w:rsidRPr="00A64045">
        <w:rPr>
          <w:sz w:val="24"/>
          <w:szCs w:val="24"/>
        </w:rPr>
        <w:t xml:space="preserve"> </w:t>
      </w:r>
      <w:r w:rsidR="009E02BF" w:rsidRPr="00A64045">
        <w:rPr>
          <w:sz w:val="24"/>
          <w:szCs w:val="24"/>
        </w:rPr>
        <w:t>σε σχέση με τ</w:t>
      </w:r>
      <w:r w:rsidR="000179B9" w:rsidRPr="00A64045">
        <w:rPr>
          <w:sz w:val="24"/>
          <w:szCs w:val="24"/>
        </w:rPr>
        <w:t>α προηγούμενα χρόνια που επέλεγαν λιγότερα τετραγωνικά</w:t>
      </w:r>
      <w:r w:rsidR="008D1153" w:rsidRPr="00A64045">
        <w:rPr>
          <w:sz w:val="24"/>
          <w:szCs w:val="24"/>
        </w:rPr>
        <w:t>,</w:t>
      </w:r>
      <w:r w:rsidR="000179B9" w:rsidRPr="00A64045">
        <w:rPr>
          <w:sz w:val="24"/>
          <w:szCs w:val="24"/>
        </w:rPr>
        <w:t xml:space="preserve"> καταγράφει η ετήσια έρευνα της </w:t>
      </w:r>
      <w:r w:rsidR="000179B9" w:rsidRPr="00A64045">
        <w:rPr>
          <w:sz w:val="24"/>
          <w:szCs w:val="24"/>
          <w:lang w:val="en-US"/>
        </w:rPr>
        <w:t>RE</w:t>
      </w:r>
      <w:r w:rsidR="000179B9" w:rsidRPr="00DF0DF4">
        <w:rPr>
          <w:sz w:val="24"/>
          <w:szCs w:val="24"/>
        </w:rPr>
        <w:t>/</w:t>
      </w:r>
      <w:r w:rsidR="000179B9" w:rsidRPr="00A64045">
        <w:rPr>
          <w:sz w:val="24"/>
          <w:szCs w:val="24"/>
          <w:lang w:val="en-US"/>
        </w:rPr>
        <w:t>MAX</w:t>
      </w:r>
      <w:r w:rsidR="000179B9" w:rsidRPr="00DF0DF4">
        <w:rPr>
          <w:sz w:val="24"/>
          <w:szCs w:val="24"/>
        </w:rPr>
        <w:t xml:space="preserve"> </w:t>
      </w:r>
      <w:r w:rsidR="000179B9" w:rsidRPr="00A64045">
        <w:rPr>
          <w:sz w:val="24"/>
          <w:szCs w:val="24"/>
        </w:rPr>
        <w:t xml:space="preserve">Ελλάς επιβεβαιώνοντας ουσιαστικά τη διεθνή τάση </w:t>
      </w:r>
      <w:r w:rsidR="008D1153" w:rsidRPr="00A64045">
        <w:rPr>
          <w:sz w:val="24"/>
          <w:szCs w:val="24"/>
        </w:rPr>
        <w:t xml:space="preserve">που επικρατεί </w:t>
      </w:r>
      <w:r w:rsidR="00626C57" w:rsidRPr="00A64045">
        <w:rPr>
          <w:sz w:val="24"/>
          <w:szCs w:val="24"/>
        </w:rPr>
        <w:t xml:space="preserve">τα τελευταία χρόνια </w:t>
      </w:r>
      <w:r w:rsidR="008D1153" w:rsidRPr="00A64045">
        <w:rPr>
          <w:sz w:val="24"/>
          <w:szCs w:val="24"/>
        </w:rPr>
        <w:t xml:space="preserve">νέα ζευγάρια </w:t>
      </w:r>
      <w:r w:rsidR="00626C57" w:rsidRPr="00A64045">
        <w:rPr>
          <w:sz w:val="24"/>
          <w:szCs w:val="24"/>
        </w:rPr>
        <w:t>που αποφασίζουν να ζήσουν σε ιδιόκτητο ακίνητο</w:t>
      </w:r>
      <w:r w:rsidR="001E2A35">
        <w:rPr>
          <w:sz w:val="24"/>
          <w:szCs w:val="24"/>
        </w:rPr>
        <w:t>,</w:t>
      </w:r>
      <w:r w:rsidR="00626C57" w:rsidRPr="00A64045">
        <w:rPr>
          <w:sz w:val="24"/>
          <w:szCs w:val="24"/>
        </w:rPr>
        <w:t xml:space="preserve"> αλλά και όσοι επιθυμούν να επενδύσουν σε </w:t>
      </w:r>
      <w:r w:rsidR="000179B9" w:rsidRPr="00A64045">
        <w:rPr>
          <w:sz w:val="24"/>
          <w:szCs w:val="24"/>
        </w:rPr>
        <w:t xml:space="preserve">πιο άνετες κατοικίες για να εξυπηρετήσουν τις καθημερινές </w:t>
      </w:r>
      <w:r w:rsidR="008D1153" w:rsidRPr="00A64045">
        <w:rPr>
          <w:sz w:val="24"/>
          <w:szCs w:val="24"/>
        </w:rPr>
        <w:t>ανάγκε</w:t>
      </w:r>
      <w:r w:rsidR="00626C57" w:rsidRPr="00A64045">
        <w:rPr>
          <w:sz w:val="24"/>
          <w:szCs w:val="24"/>
        </w:rPr>
        <w:t xml:space="preserve">ς </w:t>
      </w:r>
      <w:r w:rsidR="001E2A35">
        <w:rPr>
          <w:sz w:val="24"/>
          <w:szCs w:val="24"/>
        </w:rPr>
        <w:t>τους,</w:t>
      </w:r>
      <w:r w:rsidR="00626C57" w:rsidRPr="00A64045">
        <w:rPr>
          <w:sz w:val="24"/>
          <w:szCs w:val="24"/>
        </w:rPr>
        <w:t xml:space="preserve"> να επιλέγουν κατοικίες άνω των 75 τετραγωνικών μέτρων</w:t>
      </w:r>
      <w:r w:rsidR="000179B9" w:rsidRPr="00A64045">
        <w:rPr>
          <w:sz w:val="24"/>
          <w:szCs w:val="24"/>
        </w:rPr>
        <w:t xml:space="preserve">. </w:t>
      </w:r>
    </w:p>
    <w:p w14:paraId="01DB5264" w14:textId="7F836260" w:rsidR="005E278B" w:rsidRPr="00A64045" w:rsidRDefault="009B7DCA" w:rsidP="000C60BF">
      <w:pPr>
        <w:tabs>
          <w:tab w:val="right" w:pos="9639"/>
        </w:tabs>
        <w:spacing w:before="120" w:after="120" w:line="360" w:lineRule="auto"/>
        <w:rPr>
          <w:sz w:val="24"/>
          <w:szCs w:val="24"/>
        </w:rPr>
      </w:pPr>
      <w:r w:rsidRPr="00A64045">
        <w:rPr>
          <w:sz w:val="24"/>
          <w:szCs w:val="24"/>
        </w:rPr>
        <w:t>Το ενδιαφέρον για κατοικίες αρκετών τετραγωνικών έχει ξεκινήσει εδώ και μία τετραετία</w:t>
      </w:r>
      <w:r w:rsidR="00F60CAD" w:rsidRPr="00A64045">
        <w:rPr>
          <w:sz w:val="24"/>
          <w:szCs w:val="24"/>
        </w:rPr>
        <w:t xml:space="preserve">, ενώ </w:t>
      </w:r>
      <w:r w:rsidRPr="00A64045">
        <w:rPr>
          <w:sz w:val="24"/>
          <w:szCs w:val="24"/>
        </w:rPr>
        <w:t>πέρυσι</w:t>
      </w:r>
      <w:r w:rsidR="00F60CAD" w:rsidRPr="00A64045">
        <w:rPr>
          <w:sz w:val="24"/>
          <w:szCs w:val="24"/>
        </w:rPr>
        <w:t xml:space="preserve"> -</w:t>
      </w:r>
      <w:r w:rsidRPr="00A64045">
        <w:rPr>
          <w:sz w:val="24"/>
          <w:szCs w:val="24"/>
        </w:rPr>
        <w:t xml:space="preserve"> εν μέσω πανδημίας</w:t>
      </w:r>
      <w:r w:rsidR="00F60CAD" w:rsidRPr="00A64045">
        <w:rPr>
          <w:sz w:val="24"/>
          <w:szCs w:val="24"/>
        </w:rPr>
        <w:t xml:space="preserve"> - είναι</w:t>
      </w:r>
      <w:r w:rsidRPr="00A64045">
        <w:rPr>
          <w:sz w:val="24"/>
          <w:szCs w:val="24"/>
        </w:rPr>
        <w:t xml:space="preserve"> </w:t>
      </w:r>
      <w:r w:rsidR="005E278B" w:rsidRPr="00A64045">
        <w:rPr>
          <w:sz w:val="24"/>
          <w:szCs w:val="24"/>
        </w:rPr>
        <w:t>αξιοσημείωτο ότι ε</w:t>
      </w:r>
      <w:r w:rsidRPr="00A64045">
        <w:rPr>
          <w:sz w:val="24"/>
          <w:szCs w:val="24"/>
        </w:rPr>
        <w:t>ντάθηκε ακόμη περισσότερο</w:t>
      </w:r>
      <w:r w:rsidR="00F60CAD" w:rsidRPr="00A64045">
        <w:rPr>
          <w:sz w:val="24"/>
          <w:szCs w:val="24"/>
        </w:rPr>
        <w:t>,</w:t>
      </w:r>
      <w:r w:rsidRPr="00A64045">
        <w:rPr>
          <w:sz w:val="24"/>
          <w:szCs w:val="24"/>
        </w:rPr>
        <w:t xml:space="preserve"> </w:t>
      </w:r>
      <w:r w:rsidR="005E278B" w:rsidRPr="00A64045">
        <w:rPr>
          <w:sz w:val="24"/>
          <w:szCs w:val="24"/>
        </w:rPr>
        <w:t>με τις κατοικίες άνω των 100 τετραγωνικών μέτρων να κ</w:t>
      </w:r>
      <w:r w:rsidR="00F60CAD" w:rsidRPr="00A64045">
        <w:rPr>
          <w:sz w:val="24"/>
          <w:szCs w:val="24"/>
        </w:rPr>
        <w:t xml:space="preserve">ερδίζουν </w:t>
      </w:r>
      <w:r w:rsidR="005E278B" w:rsidRPr="00A64045">
        <w:rPr>
          <w:sz w:val="24"/>
          <w:szCs w:val="24"/>
        </w:rPr>
        <w:t xml:space="preserve">το μεγαλύτερο μερίδιο της πίτας </w:t>
      </w:r>
      <w:r w:rsidR="00F60CAD" w:rsidRPr="00A64045">
        <w:rPr>
          <w:sz w:val="24"/>
          <w:szCs w:val="24"/>
        </w:rPr>
        <w:t xml:space="preserve">όσον αφορά στις αγοραπωλησίες ακινήτων </w:t>
      </w:r>
      <w:r w:rsidR="005E278B" w:rsidRPr="00A64045">
        <w:rPr>
          <w:sz w:val="24"/>
          <w:szCs w:val="24"/>
        </w:rPr>
        <w:t>βάσει της συνολικής επιφάνειας.</w:t>
      </w:r>
    </w:p>
    <w:p w14:paraId="3F8F9C86" w14:textId="4C736B4F" w:rsidR="00FC6893" w:rsidRPr="00A64045" w:rsidRDefault="00F60CAD" w:rsidP="000C60BF">
      <w:pPr>
        <w:tabs>
          <w:tab w:val="right" w:pos="9639"/>
        </w:tabs>
        <w:spacing w:before="120" w:after="120" w:line="360" w:lineRule="auto"/>
        <w:rPr>
          <w:color w:val="000000"/>
          <w:sz w:val="24"/>
          <w:szCs w:val="24"/>
          <w:shd w:val="clear" w:color="auto" w:fill="FFFFFF"/>
        </w:rPr>
      </w:pPr>
      <w:r w:rsidRPr="00A64045">
        <w:rPr>
          <w:color w:val="000000"/>
          <w:sz w:val="24"/>
          <w:szCs w:val="24"/>
          <w:shd w:val="clear" w:color="auto" w:fill="FFFFFF"/>
        </w:rPr>
        <w:t>Ειδικότερα, ό</w:t>
      </w:r>
      <w:r w:rsidR="00CE2932" w:rsidRPr="00A64045">
        <w:rPr>
          <w:color w:val="000000"/>
          <w:sz w:val="24"/>
          <w:szCs w:val="24"/>
          <w:shd w:val="clear" w:color="auto" w:fill="FFFFFF"/>
        </w:rPr>
        <w:t xml:space="preserve">πως προκύπτει από τα στοιχεία πώλησης που πραγματοποιήθηκαν το 2021 </w:t>
      </w:r>
      <w:r w:rsidRPr="00A64045">
        <w:rPr>
          <w:color w:val="000000"/>
          <w:sz w:val="24"/>
          <w:szCs w:val="24"/>
          <w:shd w:val="clear" w:color="auto" w:fill="FFFFFF"/>
        </w:rPr>
        <w:t>πανελλαδικά από το μεγαλύτερο κτηματομεσιτικό δίκτυο της χώρα</w:t>
      </w:r>
      <w:r w:rsidR="00FC6893" w:rsidRPr="00A64045">
        <w:rPr>
          <w:color w:val="000000"/>
          <w:sz w:val="24"/>
          <w:szCs w:val="24"/>
          <w:shd w:val="clear" w:color="auto" w:fill="FFFFFF"/>
        </w:rPr>
        <w:t xml:space="preserve">ς, της </w:t>
      </w:r>
      <w:r w:rsidR="00FC6893" w:rsidRPr="00A64045">
        <w:rPr>
          <w:color w:val="000000"/>
          <w:sz w:val="24"/>
          <w:szCs w:val="24"/>
          <w:shd w:val="clear" w:color="auto" w:fill="FFFFFF"/>
          <w:lang w:val="en-US"/>
        </w:rPr>
        <w:t>RE</w:t>
      </w:r>
      <w:r w:rsidR="00FC6893" w:rsidRPr="00DF0DF4">
        <w:rPr>
          <w:color w:val="000000"/>
          <w:sz w:val="24"/>
          <w:szCs w:val="24"/>
          <w:shd w:val="clear" w:color="auto" w:fill="FFFFFF"/>
        </w:rPr>
        <w:t>/</w:t>
      </w:r>
      <w:r w:rsidR="00FC6893" w:rsidRPr="00A64045">
        <w:rPr>
          <w:color w:val="000000"/>
          <w:sz w:val="24"/>
          <w:szCs w:val="24"/>
          <w:shd w:val="clear" w:color="auto" w:fill="FFFFFF"/>
          <w:lang w:val="en-US"/>
        </w:rPr>
        <w:t>MAX</w:t>
      </w:r>
      <w:r w:rsidR="00FC6893" w:rsidRPr="00DF0DF4">
        <w:rPr>
          <w:color w:val="000000"/>
          <w:sz w:val="24"/>
          <w:szCs w:val="24"/>
          <w:shd w:val="clear" w:color="auto" w:fill="FFFFFF"/>
        </w:rPr>
        <w:t xml:space="preserve"> </w:t>
      </w:r>
      <w:r w:rsidR="00FC6893" w:rsidRPr="00A64045">
        <w:rPr>
          <w:color w:val="000000"/>
          <w:sz w:val="24"/>
          <w:szCs w:val="24"/>
          <w:shd w:val="clear" w:color="auto" w:fill="FFFFFF"/>
        </w:rPr>
        <w:t xml:space="preserve">Ελλάς, που αποτελείται από </w:t>
      </w:r>
      <w:r w:rsidR="00CE2932" w:rsidRPr="00A64045">
        <w:rPr>
          <w:color w:val="000000"/>
          <w:sz w:val="24"/>
          <w:szCs w:val="24"/>
          <w:shd w:val="clear" w:color="auto" w:fill="FFFFFF"/>
        </w:rPr>
        <w:t>7</w:t>
      </w:r>
      <w:r w:rsidR="00DF0DF4">
        <w:rPr>
          <w:color w:val="000000"/>
          <w:sz w:val="24"/>
          <w:szCs w:val="24"/>
          <w:shd w:val="clear" w:color="auto" w:fill="FFFFFF"/>
          <w:lang w:val="en-US"/>
        </w:rPr>
        <w:t>6</w:t>
      </w:r>
      <w:r w:rsidR="00CE2932" w:rsidRPr="00A64045">
        <w:rPr>
          <w:color w:val="000000"/>
          <w:sz w:val="24"/>
          <w:szCs w:val="24"/>
          <w:shd w:val="clear" w:color="auto" w:fill="FFFFFF"/>
        </w:rPr>
        <w:t xml:space="preserve"> γραφεία και σχεδόν 1000 συμβούλους ακινήτων, </w:t>
      </w:r>
      <w:r w:rsidR="00FC6893" w:rsidRPr="00A64045">
        <w:rPr>
          <w:color w:val="000000"/>
          <w:sz w:val="24"/>
          <w:szCs w:val="24"/>
          <w:shd w:val="clear" w:color="auto" w:fill="FFFFFF"/>
        </w:rPr>
        <w:t>την υψηλότερη ζήτηση εμφάνισαν κατοικίες με εμβαδόν από 101 έως 150 τ.μ. καθώς για κάθε 100 αγοραπωλησίες οι 26 αφορούσαν τα συγκεκριμένα τετραγωνικά ενώ σημαντικό ήταν το αγοραστικό ενδιαφέρον για τα ακίνητα έως 76 έως 100 τ.μ. (21%).</w:t>
      </w:r>
      <w:r w:rsidR="001E2A35">
        <w:rPr>
          <w:color w:val="000000"/>
          <w:sz w:val="24"/>
          <w:szCs w:val="24"/>
          <w:shd w:val="clear" w:color="auto" w:fill="FFFFFF"/>
        </w:rPr>
        <w:t xml:space="preserve"> Ουσι</w:t>
      </w:r>
      <w:r w:rsidR="00BA0F26">
        <w:rPr>
          <w:color w:val="000000"/>
          <w:sz w:val="24"/>
          <w:szCs w:val="24"/>
          <w:shd w:val="clear" w:color="auto" w:fill="FFFFFF"/>
        </w:rPr>
        <w:t>α</w:t>
      </w:r>
      <w:r w:rsidR="001E2A35">
        <w:rPr>
          <w:color w:val="000000"/>
          <w:sz w:val="24"/>
          <w:szCs w:val="24"/>
          <w:shd w:val="clear" w:color="auto" w:fill="FFFFFF"/>
        </w:rPr>
        <w:t xml:space="preserve">στικά αν αθροίσει κανείς αυτά τα δύο ποσοστά θα διαπιστώσει ότι περίπου 1 στους 2 ενδιαφερόμενους αγοραστές επιλέγει </w:t>
      </w:r>
      <w:r w:rsidR="00BA0F26">
        <w:rPr>
          <w:color w:val="000000"/>
          <w:sz w:val="24"/>
          <w:szCs w:val="24"/>
          <w:shd w:val="clear" w:color="auto" w:fill="FFFFFF"/>
        </w:rPr>
        <w:t>κατοικία με δύο υπνοδωμάτια και άνω.</w:t>
      </w:r>
    </w:p>
    <w:p w14:paraId="7032D69B" w14:textId="0781FF39" w:rsidR="009B0FE1" w:rsidRPr="00A64045" w:rsidRDefault="00FC6893" w:rsidP="00A64045">
      <w:pPr>
        <w:tabs>
          <w:tab w:val="right" w:pos="9639"/>
        </w:tabs>
        <w:spacing w:before="120" w:after="120" w:line="360" w:lineRule="auto"/>
        <w:rPr>
          <w:sz w:val="24"/>
          <w:szCs w:val="24"/>
        </w:rPr>
      </w:pPr>
      <w:r w:rsidRPr="00A64045">
        <w:rPr>
          <w:sz w:val="24"/>
          <w:szCs w:val="24"/>
        </w:rPr>
        <w:t xml:space="preserve">Είναι ξεκάθαρο πλέον ότι </w:t>
      </w:r>
      <w:r w:rsidR="00CE2932" w:rsidRPr="00A64045">
        <w:rPr>
          <w:sz w:val="24"/>
          <w:szCs w:val="24"/>
        </w:rPr>
        <w:t>καθοριστικοί παράγοντες επιλογής ενός διαμερίσματος, μίας μονοκατοικίας ή μεζονέτας αποτελούν εκτός της τοποθεσίας και της ηλικίας, το εμβαδόν και η διαρρύθμισή του</w:t>
      </w:r>
      <w:r w:rsidR="00A64045" w:rsidRPr="00A64045">
        <w:rPr>
          <w:sz w:val="24"/>
          <w:szCs w:val="24"/>
        </w:rPr>
        <w:t xml:space="preserve"> και μάλιστα η στροφή σε ακόμη μεγαλύτερη ακίνητα είναι όλο και πιο έντονη. Για παράδειγμα, σύμφωνα με τα στοιχεία της </w:t>
      </w:r>
      <w:r w:rsidR="00A64045" w:rsidRPr="00A64045">
        <w:rPr>
          <w:sz w:val="24"/>
          <w:szCs w:val="24"/>
          <w:lang w:val="en-US"/>
        </w:rPr>
        <w:t>RE</w:t>
      </w:r>
      <w:r w:rsidR="00A64045" w:rsidRPr="00DF0DF4">
        <w:rPr>
          <w:sz w:val="24"/>
          <w:szCs w:val="24"/>
        </w:rPr>
        <w:t>/</w:t>
      </w:r>
      <w:r w:rsidR="00A64045" w:rsidRPr="00A64045">
        <w:rPr>
          <w:sz w:val="24"/>
          <w:szCs w:val="24"/>
          <w:lang w:val="en-US"/>
        </w:rPr>
        <w:t>MAX</w:t>
      </w:r>
      <w:r w:rsidR="00A64045" w:rsidRPr="00DF0DF4">
        <w:rPr>
          <w:sz w:val="24"/>
          <w:szCs w:val="24"/>
        </w:rPr>
        <w:t xml:space="preserve"> </w:t>
      </w:r>
      <w:r w:rsidR="00A64045" w:rsidRPr="00A64045">
        <w:rPr>
          <w:sz w:val="24"/>
          <w:szCs w:val="24"/>
        </w:rPr>
        <w:t>Ελλάς,</w:t>
      </w:r>
      <w:r w:rsidR="00FC2CD7" w:rsidRPr="00A64045">
        <w:rPr>
          <w:sz w:val="24"/>
          <w:szCs w:val="24"/>
        </w:rPr>
        <w:t xml:space="preserve"> ακίνητα εμβαδού άνω των 1</w:t>
      </w:r>
      <w:r w:rsidR="00052744" w:rsidRPr="00A64045">
        <w:rPr>
          <w:sz w:val="24"/>
          <w:szCs w:val="24"/>
        </w:rPr>
        <w:t>5</w:t>
      </w:r>
      <w:r w:rsidR="00FC2CD7" w:rsidRPr="00A64045">
        <w:rPr>
          <w:sz w:val="24"/>
          <w:szCs w:val="24"/>
        </w:rPr>
        <w:t>1 τ.μ. επέλεξαν 1</w:t>
      </w:r>
      <w:r w:rsidR="00052744" w:rsidRPr="00A64045">
        <w:rPr>
          <w:sz w:val="24"/>
          <w:szCs w:val="24"/>
        </w:rPr>
        <w:t>6</w:t>
      </w:r>
      <w:r w:rsidR="00FC2CD7" w:rsidRPr="00A64045">
        <w:rPr>
          <w:sz w:val="24"/>
          <w:szCs w:val="24"/>
        </w:rPr>
        <w:t xml:space="preserve"> στους 100 αγοραστές</w:t>
      </w:r>
      <w:r w:rsidR="005316F3" w:rsidRPr="00A64045">
        <w:rPr>
          <w:sz w:val="24"/>
          <w:szCs w:val="24"/>
        </w:rPr>
        <w:t xml:space="preserve">, </w:t>
      </w:r>
      <w:r w:rsidR="00291797" w:rsidRPr="00A64045">
        <w:rPr>
          <w:sz w:val="24"/>
          <w:szCs w:val="24"/>
        </w:rPr>
        <w:t>τη στιγμή που</w:t>
      </w:r>
      <w:r w:rsidR="005316F3" w:rsidRPr="00A64045">
        <w:rPr>
          <w:sz w:val="24"/>
          <w:szCs w:val="24"/>
        </w:rPr>
        <w:t xml:space="preserve"> τη συγκεκριμένη κατηγορία ακινήτων </w:t>
      </w:r>
      <w:r w:rsidR="000C60BF" w:rsidRPr="00A64045">
        <w:rPr>
          <w:sz w:val="24"/>
          <w:szCs w:val="24"/>
        </w:rPr>
        <w:t xml:space="preserve">πριν το ξέσπασμα της πανδημίας </w:t>
      </w:r>
      <w:r w:rsidR="005316F3" w:rsidRPr="00A64045">
        <w:rPr>
          <w:sz w:val="24"/>
          <w:szCs w:val="24"/>
        </w:rPr>
        <w:t>είχ</w:t>
      </w:r>
      <w:r w:rsidR="00291797" w:rsidRPr="00A64045">
        <w:rPr>
          <w:sz w:val="24"/>
          <w:szCs w:val="24"/>
        </w:rPr>
        <w:t>αν</w:t>
      </w:r>
      <w:r w:rsidR="005316F3" w:rsidRPr="00A64045">
        <w:rPr>
          <w:sz w:val="24"/>
          <w:szCs w:val="24"/>
        </w:rPr>
        <w:t xml:space="preserve"> επιλέξει </w:t>
      </w:r>
      <w:r w:rsidR="00A64045" w:rsidRPr="00A64045">
        <w:rPr>
          <w:sz w:val="24"/>
          <w:szCs w:val="24"/>
        </w:rPr>
        <w:t>μόλις</w:t>
      </w:r>
      <w:r w:rsidR="005316F3" w:rsidRPr="00A64045">
        <w:rPr>
          <w:sz w:val="24"/>
          <w:szCs w:val="24"/>
        </w:rPr>
        <w:t xml:space="preserve"> </w:t>
      </w:r>
      <w:r w:rsidR="000A3222" w:rsidRPr="00A64045">
        <w:rPr>
          <w:sz w:val="24"/>
          <w:szCs w:val="24"/>
        </w:rPr>
        <w:t xml:space="preserve">4 </w:t>
      </w:r>
      <w:r w:rsidR="00291797" w:rsidRPr="00A64045">
        <w:rPr>
          <w:sz w:val="24"/>
          <w:szCs w:val="24"/>
        </w:rPr>
        <w:t>στους 100</w:t>
      </w:r>
      <w:r w:rsidR="00FC2CD7" w:rsidRPr="00A64045">
        <w:rPr>
          <w:sz w:val="24"/>
          <w:szCs w:val="24"/>
        </w:rPr>
        <w:t>.</w:t>
      </w:r>
    </w:p>
    <w:p w14:paraId="033F05F0" w14:textId="037A886E" w:rsidR="004045BB" w:rsidRPr="00A64045" w:rsidRDefault="00C2550D" w:rsidP="0039113F">
      <w:pPr>
        <w:tabs>
          <w:tab w:val="right" w:pos="9639"/>
        </w:tabs>
        <w:spacing w:before="240" w:after="240" w:line="360" w:lineRule="auto"/>
        <w:rPr>
          <w:sz w:val="24"/>
          <w:szCs w:val="24"/>
        </w:rPr>
      </w:pPr>
      <w:r w:rsidRPr="00A64045">
        <w:rPr>
          <w:sz w:val="24"/>
          <w:szCs w:val="24"/>
        </w:rPr>
        <w:t xml:space="preserve">Για τις </w:t>
      </w:r>
      <w:r w:rsidR="005316F3" w:rsidRPr="00A64045">
        <w:rPr>
          <w:sz w:val="24"/>
          <w:szCs w:val="24"/>
        </w:rPr>
        <w:t xml:space="preserve">υπόλοιπες </w:t>
      </w:r>
      <w:r w:rsidRPr="00A64045">
        <w:rPr>
          <w:sz w:val="24"/>
          <w:szCs w:val="24"/>
        </w:rPr>
        <w:t xml:space="preserve">κατηγορίες </w:t>
      </w:r>
      <w:r w:rsidR="003A6376" w:rsidRPr="00A64045">
        <w:rPr>
          <w:sz w:val="24"/>
          <w:szCs w:val="24"/>
        </w:rPr>
        <w:t xml:space="preserve">οικιστικών </w:t>
      </w:r>
      <w:r w:rsidRPr="00A64045">
        <w:rPr>
          <w:sz w:val="24"/>
          <w:szCs w:val="24"/>
        </w:rPr>
        <w:t>ακινήτων</w:t>
      </w:r>
      <w:r w:rsidR="00697D2D" w:rsidRPr="00A64045">
        <w:rPr>
          <w:sz w:val="24"/>
          <w:szCs w:val="24"/>
        </w:rPr>
        <w:t>,</w:t>
      </w:r>
      <w:r w:rsidR="005316F3" w:rsidRPr="00A64045">
        <w:rPr>
          <w:sz w:val="24"/>
          <w:szCs w:val="24"/>
        </w:rPr>
        <w:t xml:space="preserve"> </w:t>
      </w:r>
      <w:r w:rsidR="00697D2D" w:rsidRPr="00A64045">
        <w:rPr>
          <w:sz w:val="24"/>
          <w:szCs w:val="24"/>
        </w:rPr>
        <w:t xml:space="preserve">τα στοιχεία βάσει των αγοραπωλησιών που πραγματοποιήθηκαν </w:t>
      </w:r>
      <w:r w:rsidR="003A6376" w:rsidRPr="00A64045">
        <w:rPr>
          <w:sz w:val="24"/>
          <w:szCs w:val="24"/>
        </w:rPr>
        <w:t>το 202</w:t>
      </w:r>
      <w:r w:rsidR="00052744" w:rsidRPr="00A64045">
        <w:rPr>
          <w:sz w:val="24"/>
          <w:szCs w:val="24"/>
        </w:rPr>
        <w:t>1</w:t>
      </w:r>
      <w:r w:rsidR="003A6376" w:rsidRPr="00A64045">
        <w:rPr>
          <w:sz w:val="24"/>
          <w:szCs w:val="24"/>
        </w:rPr>
        <w:t xml:space="preserve"> μέσω του κτηματομεσιτικού δικτύου </w:t>
      </w:r>
      <w:r w:rsidR="003A6376" w:rsidRPr="00A64045">
        <w:rPr>
          <w:sz w:val="24"/>
          <w:szCs w:val="24"/>
        </w:rPr>
        <w:lastRenderedPageBreak/>
        <w:t xml:space="preserve">της </w:t>
      </w:r>
      <w:r w:rsidR="003A6376" w:rsidRPr="00A64045">
        <w:rPr>
          <w:sz w:val="24"/>
          <w:szCs w:val="24"/>
          <w:lang w:val="en-US"/>
        </w:rPr>
        <w:t>RE</w:t>
      </w:r>
      <w:r w:rsidR="003A6376" w:rsidRPr="00A64045">
        <w:rPr>
          <w:sz w:val="24"/>
          <w:szCs w:val="24"/>
        </w:rPr>
        <w:t>/</w:t>
      </w:r>
      <w:r w:rsidR="003A6376" w:rsidRPr="00A64045">
        <w:rPr>
          <w:sz w:val="24"/>
          <w:szCs w:val="24"/>
          <w:lang w:val="en-US"/>
        </w:rPr>
        <w:t>MAX</w:t>
      </w:r>
      <w:r w:rsidR="003A6376" w:rsidRPr="00A64045">
        <w:rPr>
          <w:sz w:val="24"/>
          <w:szCs w:val="24"/>
        </w:rPr>
        <w:t xml:space="preserve"> Ελλάς δείχνουν ότι το ενδιαφέρον για </w:t>
      </w:r>
      <w:r w:rsidR="00A64045" w:rsidRPr="00A64045">
        <w:rPr>
          <w:sz w:val="24"/>
          <w:szCs w:val="24"/>
        </w:rPr>
        <w:t xml:space="preserve">επιφάνεια ακινήτων έως </w:t>
      </w:r>
      <w:r w:rsidR="00052744" w:rsidRPr="00A64045">
        <w:rPr>
          <w:sz w:val="24"/>
          <w:szCs w:val="24"/>
        </w:rPr>
        <w:t>50</w:t>
      </w:r>
      <w:r w:rsidR="003A6376" w:rsidRPr="00A64045">
        <w:rPr>
          <w:sz w:val="24"/>
          <w:szCs w:val="24"/>
        </w:rPr>
        <w:t xml:space="preserve"> τ.μ. ανήλθε στο 1</w:t>
      </w:r>
      <w:r w:rsidR="00052744" w:rsidRPr="00A64045">
        <w:rPr>
          <w:sz w:val="24"/>
          <w:szCs w:val="24"/>
        </w:rPr>
        <w:t>9</w:t>
      </w:r>
      <w:r w:rsidR="003A6376" w:rsidRPr="00A64045">
        <w:rPr>
          <w:sz w:val="24"/>
          <w:szCs w:val="24"/>
        </w:rPr>
        <w:t>%</w:t>
      </w:r>
      <w:r w:rsidR="00052744" w:rsidRPr="00A64045">
        <w:rPr>
          <w:sz w:val="24"/>
          <w:szCs w:val="24"/>
        </w:rPr>
        <w:t xml:space="preserve"> και</w:t>
      </w:r>
      <w:r w:rsidR="003A6376" w:rsidRPr="00A64045">
        <w:rPr>
          <w:sz w:val="24"/>
          <w:szCs w:val="24"/>
        </w:rPr>
        <w:t xml:space="preserve"> για εμβαδό από </w:t>
      </w:r>
      <w:r w:rsidR="00052744" w:rsidRPr="00A64045">
        <w:rPr>
          <w:sz w:val="24"/>
          <w:szCs w:val="24"/>
        </w:rPr>
        <w:t>51</w:t>
      </w:r>
      <w:r w:rsidR="00B1711A" w:rsidRPr="00A64045">
        <w:rPr>
          <w:sz w:val="24"/>
          <w:szCs w:val="24"/>
        </w:rPr>
        <w:t xml:space="preserve"> έως </w:t>
      </w:r>
      <w:r w:rsidR="00052744" w:rsidRPr="00A64045">
        <w:rPr>
          <w:sz w:val="24"/>
          <w:szCs w:val="24"/>
        </w:rPr>
        <w:t>75</w:t>
      </w:r>
      <w:r w:rsidR="00B1711A" w:rsidRPr="00A64045">
        <w:rPr>
          <w:sz w:val="24"/>
          <w:szCs w:val="24"/>
        </w:rPr>
        <w:t xml:space="preserve"> </w:t>
      </w:r>
      <w:r w:rsidR="003A6376" w:rsidRPr="00A64045">
        <w:rPr>
          <w:sz w:val="24"/>
          <w:szCs w:val="24"/>
        </w:rPr>
        <w:t>τ.μ.</w:t>
      </w:r>
      <w:r w:rsidR="00B1711A" w:rsidRPr="00A64045">
        <w:rPr>
          <w:sz w:val="24"/>
          <w:szCs w:val="24"/>
        </w:rPr>
        <w:t xml:space="preserve"> στο 1</w:t>
      </w:r>
      <w:r w:rsidR="00052744" w:rsidRPr="00A64045">
        <w:rPr>
          <w:sz w:val="24"/>
          <w:szCs w:val="24"/>
        </w:rPr>
        <w:t>8</w:t>
      </w:r>
      <w:r w:rsidR="00B1711A" w:rsidRPr="00A64045">
        <w:rPr>
          <w:sz w:val="24"/>
          <w:szCs w:val="24"/>
        </w:rPr>
        <w:t>%</w:t>
      </w:r>
      <w:r w:rsidR="00052744" w:rsidRPr="00A64045">
        <w:rPr>
          <w:sz w:val="24"/>
          <w:szCs w:val="24"/>
        </w:rPr>
        <w:t>.</w:t>
      </w:r>
      <w:r w:rsidR="00B1711A" w:rsidRPr="00A64045">
        <w:rPr>
          <w:sz w:val="24"/>
          <w:szCs w:val="24"/>
        </w:rPr>
        <w:t xml:space="preserve"> </w:t>
      </w:r>
    </w:p>
    <w:p w14:paraId="03133F02" w14:textId="09A44E5C" w:rsidR="002908A2" w:rsidRPr="00A64045" w:rsidRDefault="009563AA" w:rsidP="002908A2">
      <w:pPr>
        <w:tabs>
          <w:tab w:val="right" w:pos="9639"/>
        </w:tabs>
        <w:spacing w:before="240" w:after="240" w:line="360" w:lineRule="auto"/>
        <w:rPr>
          <w:sz w:val="24"/>
          <w:szCs w:val="24"/>
        </w:rPr>
      </w:pPr>
      <w:r w:rsidRPr="00A64045">
        <w:rPr>
          <w:noProof/>
          <w:sz w:val="24"/>
          <w:szCs w:val="24"/>
        </w:rPr>
        <w:drawing>
          <wp:inline distT="0" distB="0" distL="0" distR="0" wp14:anchorId="7F5EE387" wp14:editId="65CF2370">
            <wp:extent cx="4838792" cy="3060000"/>
            <wp:effectExtent l="0" t="0" r="0" b="7620"/>
            <wp:docPr id="3" name="Γράφημα 3">
              <a:extLst xmlns:a="http://schemas.openxmlformats.org/drawingml/2006/main">
                <a:ext uri="{FF2B5EF4-FFF2-40B4-BE49-F238E27FC236}">
                  <a16:creationId xmlns:a16="http://schemas.microsoft.com/office/drawing/2014/main" id="{E34BA5DD-04FF-420E-ACDA-D1EBDA7C092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464E275" w14:textId="0ED085D5" w:rsidR="00EF0ACF" w:rsidRPr="00A64045" w:rsidRDefault="002908A2" w:rsidP="0039113F">
      <w:pPr>
        <w:tabs>
          <w:tab w:val="right" w:pos="9639"/>
        </w:tabs>
        <w:spacing w:before="240" w:after="240" w:line="360" w:lineRule="auto"/>
        <w:rPr>
          <w:sz w:val="24"/>
          <w:szCs w:val="24"/>
        </w:rPr>
      </w:pPr>
      <w:r w:rsidRPr="00A64045">
        <w:rPr>
          <w:sz w:val="24"/>
          <w:szCs w:val="24"/>
        </w:rPr>
        <w:t>Στην Αττική</w:t>
      </w:r>
      <w:r w:rsidR="004A6952" w:rsidRPr="00A64045">
        <w:rPr>
          <w:sz w:val="24"/>
          <w:szCs w:val="24"/>
        </w:rPr>
        <w:t>,</w:t>
      </w:r>
      <w:r w:rsidRPr="00A64045">
        <w:rPr>
          <w:sz w:val="24"/>
          <w:szCs w:val="24"/>
        </w:rPr>
        <w:t xml:space="preserve"> προτιμήθηκαν σε ποσοστό </w:t>
      </w:r>
      <w:r w:rsidR="004045BB" w:rsidRPr="00A64045">
        <w:rPr>
          <w:sz w:val="24"/>
          <w:szCs w:val="24"/>
        </w:rPr>
        <w:t>57</w:t>
      </w:r>
      <w:r w:rsidRPr="00A64045">
        <w:rPr>
          <w:sz w:val="24"/>
          <w:szCs w:val="24"/>
        </w:rPr>
        <w:t>% οι κατοικίες εμβαδού έως 1</w:t>
      </w:r>
      <w:r w:rsidR="004045BB" w:rsidRPr="00A64045">
        <w:rPr>
          <w:sz w:val="24"/>
          <w:szCs w:val="24"/>
        </w:rPr>
        <w:t>0</w:t>
      </w:r>
      <w:r w:rsidRPr="00A64045">
        <w:rPr>
          <w:sz w:val="24"/>
          <w:szCs w:val="24"/>
        </w:rPr>
        <w:t xml:space="preserve">0τ.μ. ενώ </w:t>
      </w:r>
      <w:r w:rsidR="00A54653" w:rsidRPr="00A64045">
        <w:rPr>
          <w:sz w:val="24"/>
          <w:szCs w:val="24"/>
        </w:rPr>
        <w:t xml:space="preserve">αξιοσημείωτο ήταν το ενδιαφέρον για μεγάλες κατοικίες άνω των </w:t>
      </w:r>
      <w:r w:rsidR="004045BB" w:rsidRPr="00A64045">
        <w:rPr>
          <w:sz w:val="24"/>
          <w:szCs w:val="24"/>
        </w:rPr>
        <w:t>151</w:t>
      </w:r>
      <w:r w:rsidR="00A54653" w:rsidRPr="00A64045">
        <w:rPr>
          <w:sz w:val="24"/>
          <w:szCs w:val="24"/>
        </w:rPr>
        <w:t xml:space="preserve"> τ.μ. καθώς το ποσοστό των αγοραστών </w:t>
      </w:r>
      <w:r w:rsidR="005E0234" w:rsidRPr="00A64045">
        <w:rPr>
          <w:sz w:val="24"/>
          <w:szCs w:val="24"/>
        </w:rPr>
        <w:t>άγγιξε</w:t>
      </w:r>
      <w:r w:rsidR="00A54653" w:rsidRPr="00A64045">
        <w:rPr>
          <w:sz w:val="24"/>
          <w:szCs w:val="24"/>
        </w:rPr>
        <w:t xml:space="preserve"> το </w:t>
      </w:r>
      <w:r w:rsidR="004045BB" w:rsidRPr="00A64045">
        <w:rPr>
          <w:sz w:val="24"/>
          <w:szCs w:val="24"/>
        </w:rPr>
        <w:t>22</w:t>
      </w:r>
      <w:r w:rsidRPr="00A64045">
        <w:rPr>
          <w:sz w:val="24"/>
          <w:szCs w:val="24"/>
        </w:rPr>
        <w:t>%.</w:t>
      </w:r>
      <w:r w:rsidR="00B1711A" w:rsidRPr="00A64045">
        <w:rPr>
          <w:sz w:val="24"/>
          <w:szCs w:val="24"/>
        </w:rPr>
        <w:t xml:space="preserve"> </w:t>
      </w:r>
      <w:r w:rsidR="00A54653" w:rsidRPr="00A64045">
        <w:rPr>
          <w:sz w:val="24"/>
          <w:szCs w:val="24"/>
        </w:rPr>
        <w:t>Την ίδια στιγμή,</w:t>
      </w:r>
      <w:r w:rsidR="00B1711A" w:rsidRPr="00A64045">
        <w:rPr>
          <w:sz w:val="24"/>
          <w:szCs w:val="24"/>
        </w:rPr>
        <w:t xml:space="preserve"> μικρές κατοικίες εμβαδού έως 50 τ.μ. επέλεξαν </w:t>
      </w:r>
      <w:r w:rsidR="004045BB" w:rsidRPr="00A64045">
        <w:rPr>
          <w:sz w:val="24"/>
          <w:szCs w:val="24"/>
        </w:rPr>
        <w:t>13</w:t>
      </w:r>
      <w:r w:rsidR="00B1711A" w:rsidRPr="00A64045">
        <w:rPr>
          <w:sz w:val="24"/>
          <w:szCs w:val="24"/>
        </w:rPr>
        <w:t xml:space="preserve"> στους 100 αγοραστές</w:t>
      </w:r>
      <w:r w:rsidR="00D07282" w:rsidRPr="00A64045">
        <w:rPr>
          <w:sz w:val="24"/>
          <w:szCs w:val="24"/>
        </w:rPr>
        <w:t xml:space="preserve"> και μεσαίες </w:t>
      </w:r>
      <w:r w:rsidR="00BF2F91" w:rsidRPr="00A64045">
        <w:rPr>
          <w:sz w:val="24"/>
          <w:szCs w:val="24"/>
        </w:rPr>
        <w:t xml:space="preserve">κατοικίες από 51 έως </w:t>
      </w:r>
      <w:r w:rsidR="004045BB" w:rsidRPr="00A64045">
        <w:rPr>
          <w:sz w:val="24"/>
          <w:szCs w:val="24"/>
        </w:rPr>
        <w:t>75</w:t>
      </w:r>
      <w:r w:rsidR="00BF2F91" w:rsidRPr="00A64045">
        <w:rPr>
          <w:sz w:val="24"/>
          <w:szCs w:val="24"/>
        </w:rPr>
        <w:t xml:space="preserve"> τ.μ. </w:t>
      </w:r>
      <w:r w:rsidR="00D07282" w:rsidRPr="00A64045">
        <w:rPr>
          <w:sz w:val="24"/>
          <w:szCs w:val="24"/>
        </w:rPr>
        <w:t>το</w:t>
      </w:r>
      <w:r w:rsidR="00BF2F91" w:rsidRPr="00A64045">
        <w:rPr>
          <w:sz w:val="24"/>
          <w:szCs w:val="24"/>
        </w:rPr>
        <w:t xml:space="preserve"> </w:t>
      </w:r>
      <w:r w:rsidR="004045BB" w:rsidRPr="00A64045">
        <w:rPr>
          <w:sz w:val="24"/>
          <w:szCs w:val="24"/>
        </w:rPr>
        <w:t>24</w:t>
      </w:r>
      <w:r w:rsidR="00BF2F91" w:rsidRPr="00A64045">
        <w:rPr>
          <w:sz w:val="24"/>
          <w:szCs w:val="24"/>
        </w:rPr>
        <w:t>%</w:t>
      </w:r>
      <w:r w:rsidRPr="00A64045">
        <w:rPr>
          <w:sz w:val="24"/>
          <w:szCs w:val="24"/>
        </w:rPr>
        <w:t>.</w:t>
      </w:r>
    </w:p>
    <w:p w14:paraId="0DD448CD" w14:textId="1A322DCB" w:rsidR="002908A2" w:rsidRPr="00A64045" w:rsidRDefault="009563AA" w:rsidP="002908A2">
      <w:pPr>
        <w:tabs>
          <w:tab w:val="right" w:pos="9639"/>
        </w:tabs>
        <w:spacing w:before="240" w:after="240" w:line="360" w:lineRule="auto"/>
        <w:rPr>
          <w:sz w:val="24"/>
          <w:szCs w:val="24"/>
        </w:rPr>
      </w:pPr>
      <w:r w:rsidRPr="00A64045">
        <w:rPr>
          <w:noProof/>
          <w:sz w:val="24"/>
          <w:szCs w:val="24"/>
        </w:rPr>
        <w:drawing>
          <wp:inline distT="0" distB="0" distL="0" distR="0" wp14:anchorId="121383D7" wp14:editId="568F7D31">
            <wp:extent cx="4782148" cy="2844000"/>
            <wp:effectExtent l="0" t="0" r="0" b="0"/>
            <wp:docPr id="4" name="Γράφημα 4">
              <a:extLst xmlns:a="http://schemas.openxmlformats.org/drawingml/2006/main">
                <a:ext uri="{FF2B5EF4-FFF2-40B4-BE49-F238E27FC236}">
                  <a16:creationId xmlns:a16="http://schemas.microsoft.com/office/drawing/2014/main" id="{B3A71E48-7EC7-406E-AE1E-374423D9BC38}"/>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ACA0AA3" w14:textId="11E8F761" w:rsidR="0089713F" w:rsidRPr="00845596" w:rsidRDefault="002908A2" w:rsidP="0039113F">
      <w:pPr>
        <w:tabs>
          <w:tab w:val="right" w:pos="9639"/>
        </w:tabs>
        <w:spacing w:before="240" w:after="240" w:line="360" w:lineRule="auto"/>
        <w:rPr>
          <w:sz w:val="24"/>
          <w:szCs w:val="24"/>
        </w:rPr>
      </w:pPr>
      <w:r w:rsidRPr="00A64045">
        <w:rPr>
          <w:sz w:val="24"/>
          <w:szCs w:val="24"/>
        </w:rPr>
        <w:t>Στη Θεσσαλονίκη</w:t>
      </w:r>
      <w:r w:rsidR="004A6952" w:rsidRPr="00A64045">
        <w:rPr>
          <w:sz w:val="24"/>
          <w:szCs w:val="24"/>
        </w:rPr>
        <w:t>,</w:t>
      </w:r>
      <w:r w:rsidRPr="00A64045">
        <w:rPr>
          <w:sz w:val="24"/>
          <w:szCs w:val="24"/>
        </w:rPr>
        <w:t xml:space="preserve"> </w:t>
      </w:r>
      <w:r w:rsidR="00A54D89" w:rsidRPr="00A64045">
        <w:rPr>
          <w:sz w:val="24"/>
          <w:szCs w:val="24"/>
        </w:rPr>
        <w:t xml:space="preserve">το </w:t>
      </w:r>
      <w:r w:rsidRPr="00A64045">
        <w:rPr>
          <w:sz w:val="24"/>
          <w:szCs w:val="24"/>
        </w:rPr>
        <w:t>μεγαλύτερ</w:t>
      </w:r>
      <w:r w:rsidR="00A54D89" w:rsidRPr="00A64045">
        <w:rPr>
          <w:sz w:val="24"/>
          <w:szCs w:val="24"/>
        </w:rPr>
        <w:t>ο</w:t>
      </w:r>
      <w:r w:rsidR="00845596">
        <w:rPr>
          <w:sz w:val="24"/>
          <w:szCs w:val="24"/>
        </w:rPr>
        <w:t xml:space="preserve"> αγοραστικό</w:t>
      </w:r>
      <w:r w:rsidR="00A54D89" w:rsidRPr="00A64045">
        <w:rPr>
          <w:sz w:val="24"/>
          <w:szCs w:val="24"/>
        </w:rPr>
        <w:t xml:space="preserve"> ενδιαφέρον </w:t>
      </w:r>
      <w:r w:rsidR="00845596">
        <w:rPr>
          <w:sz w:val="24"/>
          <w:szCs w:val="24"/>
        </w:rPr>
        <w:t xml:space="preserve">αφορά </w:t>
      </w:r>
      <w:r w:rsidR="00A54D89" w:rsidRPr="00A64045">
        <w:rPr>
          <w:sz w:val="24"/>
          <w:szCs w:val="24"/>
        </w:rPr>
        <w:t xml:space="preserve">διαμερίσματα εμβαδού από </w:t>
      </w:r>
      <w:r w:rsidR="004045BB" w:rsidRPr="00A64045">
        <w:rPr>
          <w:sz w:val="24"/>
          <w:szCs w:val="24"/>
        </w:rPr>
        <w:t>5</w:t>
      </w:r>
      <w:r w:rsidR="00A54D89" w:rsidRPr="00A64045">
        <w:rPr>
          <w:sz w:val="24"/>
          <w:szCs w:val="24"/>
        </w:rPr>
        <w:t xml:space="preserve">1 έως </w:t>
      </w:r>
      <w:r w:rsidR="004045BB" w:rsidRPr="00A64045">
        <w:rPr>
          <w:sz w:val="24"/>
          <w:szCs w:val="24"/>
        </w:rPr>
        <w:t>100</w:t>
      </w:r>
      <w:r w:rsidR="00A54D89" w:rsidRPr="00A64045">
        <w:rPr>
          <w:sz w:val="24"/>
          <w:szCs w:val="24"/>
        </w:rPr>
        <w:t xml:space="preserve"> τ.μ. σε ποσοστό </w:t>
      </w:r>
      <w:r w:rsidR="004045BB" w:rsidRPr="00A64045">
        <w:rPr>
          <w:sz w:val="24"/>
          <w:szCs w:val="24"/>
        </w:rPr>
        <w:t>46</w:t>
      </w:r>
      <w:r w:rsidR="00A54D89" w:rsidRPr="00A64045">
        <w:rPr>
          <w:sz w:val="24"/>
          <w:szCs w:val="24"/>
        </w:rPr>
        <w:t>%</w:t>
      </w:r>
      <w:r w:rsidRPr="00A64045">
        <w:rPr>
          <w:sz w:val="24"/>
          <w:szCs w:val="24"/>
        </w:rPr>
        <w:t xml:space="preserve"> </w:t>
      </w:r>
      <w:r w:rsidR="00A54D89" w:rsidRPr="00A64045">
        <w:rPr>
          <w:sz w:val="24"/>
          <w:szCs w:val="24"/>
        </w:rPr>
        <w:t xml:space="preserve">ενώ </w:t>
      </w:r>
      <w:r w:rsidR="004045BB" w:rsidRPr="00A64045">
        <w:rPr>
          <w:sz w:val="24"/>
          <w:szCs w:val="24"/>
        </w:rPr>
        <w:t>α</w:t>
      </w:r>
      <w:r w:rsidR="00A54D89" w:rsidRPr="00A64045">
        <w:rPr>
          <w:sz w:val="24"/>
          <w:szCs w:val="24"/>
        </w:rPr>
        <w:t xml:space="preserve">ξιοσημείωτο είναι </w:t>
      </w:r>
      <w:r w:rsidR="006465E0">
        <w:rPr>
          <w:sz w:val="24"/>
          <w:szCs w:val="24"/>
        </w:rPr>
        <w:t>το γεγονός ότι</w:t>
      </w:r>
      <w:r w:rsidR="004045BB" w:rsidRPr="00A64045">
        <w:rPr>
          <w:sz w:val="24"/>
          <w:szCs w:val="24"/>
        </w:rPr>
        <w:t xml:space="preserve"> </w:t>
      </w:r>
      <w:r w:rsidR="006465E0">
        <w:rPr>
          <w:sz w:val="24"/>
          <w:szCs w:val="24"/>
        </w:rPr>
        <w:t xml:space="preserve">ακίνητα άνω </w:t>
      </w:r>
      <w:r w:rsidR="006465E0">
        <w:rPr>
          <w:sz w:val="24"/>
          <w:szCs w:val="24"/>
        </w:rPr>
        <w:lastRenderedPageBreak/>
        <w:t xml:space="preserve">των 101 τ.μ. προτιμήθηκαν από το 35% των αγοραστών </w:t>
      </w:r>
      <w:r w:rsidR="00845596">
        <w:rPr>
          <w:sz w:val="24"/>
          <w:szCs w:val="24"/>
        </w:rPr>
        <w:t xml:space="preserve">επιβεβαιώνοντας ουσιαστικά την τάση που επικρατεί τα τελευταία χρόνια παγκοσμίως. </w:t>
      </w:r>
    </w:p>
    <w:p w14:paraId="7406E11C" w14:textId="6B62C98E" w:rsidR="00447045" w:rsidRPr="00A64045" w:rsidRDefault="009563AA" w:rsidP="002908A2">
      <w:pPr>
        <w:tabs>
          <w:tab w:val="right" w:pos="9639"/>
        </w:tabs>
        <w:spacing w:before="240" w:after="240" w:line="360" w:lineRule="auto"/>
        <w:rPr>
          <w:sz w:val="24"/>
          <w:szCs w:val="24"/>
          <w:lang w:val="en-US"/>
        </w:rPr>
      </w:pPr>
      <w:r w:rsidRPr="00A64045">
        <w:rPr>
          <w:noProof/>
          <w:sz w:val="24"/>
          <w:szCs w:val="24"/>
        </w:rPr>
        <w:drawing>
          <wp:inline distT="0" distB="0" distL="0" distR="0" wp14:anchorId="47DB4824" wp14:editId="59C2A428">
            <wp:extent cx="4853181" cy="3060000"/>
            <wp:effectExtent l="0" t="0" r="5080" b="7620"/>
            <wp:docPr id="5" name="Γράφημα 5">
              <a:extLst xmlns:a="http://schemas.openxmlformats.org/drawingml/2006/main">
                <a:ext uri="{FF2B5EF4-FFF2-40B4-BE49-F238E27FC236}">
                  <a16:creationId xmlns:a16="http://schemas.microsoft.com/office/drawing/2014/main" id="{765C43AE-DACB-4A67-BF73-BA14F0408E61}"/>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F6DD77" w14:textId="182B4F16" w:rsidR="005920B7" w:rsidRPr="00A64045" w:rsidRDefault="002908A2" w:rsidP="0039113F">
      <w:pPr>
        <w:tabs>
          <w:tab w:val="right" w:pos="9639"/>
        </w:tabs>
        <w:spacing w:before="240" w:after="240" w:line="360" w:lineRule="auto"/>
        <w:rPr>
          <w:sz w:val="24"/>
          <w:szCs w:val="24"/>
        </w:rPr>
      </w:pPr>
      <w:r w:rsidRPr="00A64045">
        <w:rPr>
          <w:sz w:val="24"/>
          <w:szCs w:val="24"/>
        </w:rPr>
        <w:t>Στην υπόλοιπη Ελλάδα (εκτός Αττικής και Θεσσαλονίκης)</w:t>
      </w:r>
      <w:r w:rsidR="004A6952" w:rsidRPr="00A64045">
        <w:rPr>
          <w:sz w:val="24"/>
          <w:szCs w:val="24"/>
        </w:rPr>
        <w:t>,</w:t>
      </w:r>
      <w:r w:rsidRPr="00A64045">
        <w:rPr>
          <w:sz w:val="24"/>
          <w:szCs w:val="24"/>
        </w:rPr>
        <w:t xml:space="preserve"> </w:t>
      </w:r>
      <w:r w:rsidR="00845596">
        <w:rPr>
          <w:sz w:val="24"/>
          <w:szCs w:val="24"/>
        </w:rPr>
        <w:t xml:space="preserve">στις </w:t>
      </w:r>
      <w:r w:rsidRPr="00A64045">
        <w:rPr>
          <w:sz w:val="24"/>
          <w:szCs w:val="24"/>
        </w:rPr>
        <w:t>προτ</w:t>
      </w:r>
      <w:r w:rsidR="00845596">
        <w:rPr>
          <w:sz w:val="24"/>
          <w:szCs w:val="24"/>
        </w:rPr>
        <w:t xml:space="preserve">ιμήσεις των αγοραστών κυριαρχούν </w:t>
      </w:r>
      <w:r w:rsidR="00D07282" w:rsidRPr="00A64045">
        <w:rPr>
          <w:sz w:val="24"/>
          <w:szCs w:val="24"/>
        </w:rPr>
        <w:t xml:space="preserve">σε ποσοστό </w:t>
      </w:r>
      <w:r w:rsidRPr="00A64045">
        <w:rPr>
          <w:sz w:val="24"/>
          <w:szCs w:val="24"/>
        </w:rPr>
        <w:t>5</w:t>
      </w:r>
      <w:r w:rsidR="00D2255F" w:rsidRPr="00A64045">
        <w:rPr>
          <w:sz w:val="24"/>
          <w:szCs w:val="24"/>
        </w:rPr>
        <w:t>1</w:t>
      </w:r>
      <w:r w:rsidRPr="00A64045">
        <w:rPr>
          <w:sz w:val="24"/>
          <w:szCs w:val="24"/>
        </w:rPr>
        <w:t xml:space="preserve">% κατοικίες εμβαδού έως </w:t>
      </w:r>
      <w:r w:rsidR="00D2255F" w:rsidRPr="00A64045">
        <w:rPr>
          <w:sz w:val="24"/>
          <w:szCs w:val="24"/>
        </w:rPr>
        <w:t>76-150</w:t>
      </w:r>
      <w:r w:rsidRPr="00A64045">
        <w:rPr>
          <w:sz w:val="24"/>
          <w:szCs w:val="24"/>
        </w:rPr>
        <w:t xml:space="preserve"> τ.μ</w:t>
      </w:r>
      <w:r w:rsidR="00D07282" w:rsidRPr="00A64045">
        <w:rPr>
          <w:sz w:val="24"/>
          <w:szCs w:val="24"/>
        </w:rPr>
        <w:t>,</w:t>
      </w:r>
      <w:r w:rsidRPr="00A64045">
        <w:rPr>
          <w:sz w:val="24"/>
          <w:szCs w:val="24"/>
        </w:rPr>
        <w:t xml:space="preserve"> ενώ σημαντικό είναι το ενδιαφέρον για ακίνητα </w:t>
      </w:r>
      <w:r w:rsidR="00D2255F" w:rsidRPr="00A64045">
        <w:rPr>
          <w:sz w:val="24"/>
          <w:szCs w:val="24"/>
        </w:rPr>
        <w:t>151</w:t>
      </w:r>
      <w:r w:rsidRPr="00A64045">
        <w:rPr>
          <w:sz w:val="24"/>
          <w:szCs w:val="24"/>
        </w:rPr>
        <w:t xml:space="preserve"> τ.μ. και άνω </w:t>
      </w:r>
      <w:r w:rsidR="00D07282" w:rsidRPr="00A64045">
        <w:rPr>
          <w:sz w:val="24"/>
          <w:szCs w:val="24"/>
        </w:rPr>
        <w:t xml:space="preserve">σε ποσοστό </w:t>
      </w:r>
      <w:r w:rsidR="00D2255F" w:rsidRPr="00A64045">
        <w:rPr>
          <w:sz w:val="24"/>
          <w:szCs w:val="24"/>
        </w:rPr>
        <w:t>12</w:t>
      </w:r>
      <w:r w:rsidRPr="00A64045">
        <w:rPr>
          <w:sz w:val="24"/>
          <w:szCs w:val="24"/>
        </w:rPr>
        <w:t>%</w:t>
      </w:r>
      <w:r w:rsidR="00D07282" w:rsidRPr="00A64045">
        <w:rPr>
          <w:sz w:val="24"/>
          <w:szCs w:val="24"/>
        </w:rPr>
        <w:t xml:space="preserve">. </w:t>
      </w:r>
      <w:r w:rsidR="00D2255F" w:rsidRPr="00A64045">
        <w:rPr>
          <w:sz w:val="24"/>
          <w:szCs w:val="24"/>
        </w:rPr>
        <w:t xml:space="preserve"> Τα μικρότερα σε επιφάνεια ακίνητα έως 50 τμ προσέλκυσαν το 23% του συνόλου των αγοραστών.</w:t>
      </w:r>
      <w:r w:rsidR="00845596">
        <w:rPr>
          <w:sz w:val="24"/>
          <w:szCs w:val="24"/>
        </w:rPr>
        <w:t xml:space="preserve"> </w:t>
      </w:r>
    </w:p>
    <w:p w14:paraId="5C6DFFA8" w14:textId="6D9C3009" w:rsidR="00801BF0" w:rsidRPr="00A64045" w:rsidRDefault="006A0D3E" w:rsidP="0039113F">
      <w:pPr>
        <w:tabs>
          <w:tab w:val="right" w:pos="9639"/>
        </w:tabs>
        <w:spacing w:before="240" w:after="240" w:line="360" w:lineRule="auto"/>
        <w:rPr>
          <w:sz w:val="24"/>
          <w:szCs w:val="24"/>
        </w:rPr>
      </w:pPr>
      <w:r w:rsidRPr="00A64045">
        <w:rPr>
          <w:noProof/>
          <w:sz w:val="24"/>
          <w:szCs w:val="24"/>
        </w:rPr>
        <w:drawing>
          <wp:inline distT="0" distB="0" distL="0" distR="0" wp14:anchorId="5EDD1A0F" wp14:editId="451593C1">
            <wp:extent cx="4817873" cy="3204000"/>
            <wp:effectExtent l="0" t="0" r="1905" b="0"/>
            <wp:docPr id="6" name="Γράφημα 6">
              <a:extLst xmlns:a="http://schemas.openxmlformats.org/drawingml/2006/main">
                <a:ext uri="{FF2B5EF4-FFF2-40B4-BE49-F238E27FC236}">
                  <a16:creationId xmlns:a16="http://schemas.microsoft.com/office/drawing/2014/main" id="{B5578890-1533-4CAB-97B5-10EAEB7453E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801BF0" w:rsidRPr="00A64045" w:rsidSect="000B286B">
      <w:pgSz w:w="11900" w:h="16840"/>
      <w:pgMar w:top="1440" w:right="1127"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9F9EF" w14:textId="77777777" w:rsidR="001715F5" w:rsidRDefault="001715F5" w:rsidP="003072C9">
      <w:pPr>
        <w:spacing w:after="0" w:line="240" w:lineRule="auto"/>
      </w:pPr>
      <w:r>
        <w:separator/>
      </w:r>
    </w:p>
  </w:endnote>
  <w:endnote w:type="continuationSeparator" w:id="0">
    <w:p w14:paraId="77A844CD" w14:textId="77777777" w:rsidR="001715F5" w:rsidRDefault="001715F5" w:rsidP="00307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D664" w14:textId="77777777" w:rsidR="001715F5" w:rsidRDefault="001715F5" w:rsidP="003072C9">
      <w:pPr>
        <w:spacing w:after="0" w:line="240" w:lineRule="auto"/>
      </w:pPr>
      <w:r>
        <w:separator/>
      </w:r>
    </w:p>
  </w:footnote>
  <w:footnote w:type="continuationSeparator" w:id="0">
    <w:p w14:paraId="5C306DC6" w14:textId="77777777" w:rsidR="001715F5" w:rsidRDefault="001715F5" w:rsidP="003072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3F"/>
    <w:rsid w:val="00000FAE"/>
    <w:rsid w:val="00013D44"/>
    <w:rsid w:val="000179B9"/>
    <w:rsid w:val="00021DF0"/>
    <w:rsid w:val="00022F44"/>
    <w:rsid w:val="00027596"/>
    <w:rsid w:val="00030066"/>
    <w:rsid w:val="000427DA"/>
    <w:rsid w:val="00042E4B"/>
    <w:rsid w:val="00044F17"/>
    <w:rsid w:val="00052744"/>
    <w:rsid w:val="00054EC7"/>
    <w:rsid w:val="00066B12"/>
    <w:rsid w:val="000714F4"/>
    <w:rsid w:val="00071B26"/>
    <w:rsid w:val="000A3222"/>
    <w:rsid w:val="000A5687"/>
    <w:rsid w:val="000B0E32"/>
    <w:rsid w:val="000B1833"/>
    <w:rsid w:val="000B286B"/>
    <w:rsid w:val="000C55F8"/>
    <w:rsid w:val="000C60BF"/>
    <w:rsid w:val="000C7795"/>
    <w:rsid w:val="000E15AF"/>
    <w:rsid w:val="000F4A1C"/>
    <w:rsid w:val="000F716D"/>
    <w:rsid w:val="000F7D40"/>
    <w:rsid w:val="00115FD6"/>
    <w:rsid w:val="00122771"/>
    <w:rsid w:val="00123B1D"/>
    <w:rsid w:val="001343FE"/>
    <w:rsid w:val="00137565"/>
    <w:rsid w:val="001460AE"/>
    <w:rsid w:val="00163C61"/>
    <w:rsid w:val="001705A7"/>
    <w:rsid w:val="001715F5"/>
    <w:rsid w:val="00173EBF"/>
    <w:rsid w:val="00173F06"/>
    <w:rsid w:val="00176638"/>
    <w:rsid w:val="00193E81"/>
    <w:rsid w:val="001949AC"/>
    <w:rsid w:val="001A7C16"/>
    <w:rsid w:val="001B355D"/>
    <w:rsid w:val="001C488A"/>
    <w:rsid w:val="001C5026"/>
    <w:rsid w:val="001C7C4B"/>
    <w:rsid w:val="001C7D9C"/>
    <w:rsid w:val="001E0215"/>
    <w:rsid w:val="001E2A35"/>
    <w:rsid w:val="001E4D8C"/>
    <w:rsid w:val="001E775A"/>
    <w:rsid w:val="001F76C8"/>
    <w:rsid w:val="0020780A"/>
    <w:rsid w:val="002141FF"/>
    <w:rsid w:val="00215656"/>
    <w:rsid w:val="00216F30"/>
    <w:rsid w:val="002267CD"/>
    <w:rsid w:val="002319A5"/>
    <w:rsid w:val="002326A3"/>
    <w:rsid w:val="00233650"/>
    <w:rsid w:val="00235794"/>
    <w:rsid w:val="00243BB5"/>
    <w:rsid w:val="00246619"/>
    <w:rsid w:val="002533A3"/>
    <w:rsid w:val="00256A13"/>
    <w:rsid w:val="00263123"/>
    <w:rsid w:val="00266047"/>
    <w:rsid w:val="00273AD6"/>
    <w:rsid w:val="002760A1"/>
    <w:rsid w:val="00281268"/>
    <w:rsid w:val="00285AEA"/>
    <w:rsid w:val="002908A2"/>
    <w:rsid w:val="00290C3B"/>
    <w:rsid w:val="00291797"/>
    <w:rsid w:val="0029382F"/>
    <w:rsid w:val="002A7C04"/>
    <w:rsid w:val="002B4071"/>
    <w:rsid w:val="002D026E"/>
    <w:rsid w:val="002D732E"/>
    <w:rsid w:val="002E3172"/>
    <w:rsid w:val="002E36AD"/>
    <w:rsid w:val="002E74AB"/>
    <w:rsid w:val="002F38D2"/>
    <w:rsid w:val="00305B9E"/>
    <w:rsid w:val="003072C9"/>
    <w:rsid w:val="00307FDF"/>
    <w:rsid w:val="00314F74"/>
    <w:rsid w:val="00331626"/>
    <w:rsid w:val="003325E2"/>
    <w:rsid w:val="00334B4F"/>
    <w:rsid w:val="00335F25"/>
    <w:rsid w:val="003615CE"/>
    <w:rsid w:val="00376EB7"/>
    <w:rsid w:val="003857BA"/>
    <w:rsid w:val="0039102A"/>
    <w:rsid w:val="0039113F"/>
    <w:rsid w:val="00392AEB"/>
    <w:rsid w:val="003A07B5"/>
    <w:rsid w:val="003A2641"/>
    <w:rsid w:val="003A6376"/>
    <w:rsid w:val="003A709C"/>
    <w:rsid w:val="003A73A7"/>
    <w:rsid w:val="003B2103"/>
    <w:rsid w:val="003C4237"/>
    <w:rsid w:val="003D3509"/>
    <w:rsid w:val="003D49EB"/>
    <w:rsid w:val="003E4F30"/>
    <w:rsid w:val="003E6708"/>
    <w:rsid w:val="004045BB"/>
    <w:rsid w:val="0040668A"/>
    <w:rsid w:val="00407739"/>
    <w:rsid w:val="00423047"/>
    <w:rsid w:val="004264CF"/>
    <w:rsid w:val="00427EF1"/>
    <w:rsid w:val="004373DF"/>
    <w:rsid w:val="00444173"/>
    <w:rsid w:val="00447045"/>
    <w:rsid w:val="004504A7"/>
    <w:rsid w:val="004509BA"/>
    <w:rsid w:val="00452368"/>
    <w:rsid w:val="00460781"/>
    <w:rsid w:val="004736DC"/>
    <w:rsid w:val="0048105C"/>
    <w:rsid w:val="00483F9A"/>
    <w:rsid w:val="004844B5"/>
    <w:rsid w:val="004A12A6"/>
    <w:rsid w:val="004A3F7B"/>
    <w:rsid w:val="004A6952"/>
    <w:rsid w:val="004A73E4"/>
    <w:rsid w:val="004C0A8E"/>
    <w:rsid w:val="004C22BC"/>
    <w:rsid w:val="004C48C5"/>
    <w:rsid w:val="004D3A0E"/>
    <w:rsid w:val="004D66EE"/>
    <w:rsid w:val="004D7B51"/>
    <w:rsid w:val="00512238"/>
    <w:rsid w:val="00514C44"/>
    <w:rsid w:val="005259A5"/>
    <w:rsid w:val="00525A09"/>
    <w:rsid w:val="00526BF0"/>
    <w:rsid w:val="00526CD5"/>
    <w:rsid w:val="00527617"/>
    <w:rsid w:val="005316F3"/>
    <w:rsid w:val="00537008"/>
    <w:rsid w:val="005425C1"/>
    <w:rsid w:val="00543C01"/>
    <w:rsid w:val="00544EB8"/>
    <w:rsid w:val="00547441"/>
    <w:rsid w:val="00555A2D"/>
    <w:rsid w:val="005670C2"/>
    <w:rsid w:val="00571592"/>
    <w:rsid w:val="005742EE"/>
    <w:rsid w:val="00585C95"/>
    <w:rsid w:val="005920B7"/>
    <w:rsid w:val="00595427"/>
    <w:rsid w:val="005C11A0"/>
    <w:rsid w:val="005E0234"/>
    <w:rsid w:val="005E1967"/>
    <w:rsid w:val="005E278B"/>
    <w:rsid w:val="005F4BB5"/>
    <w:rsid w:val="00602B22"/>
    <w:rsid w:val="006138C0"/>
    <w:rsid w:val="00616D43"/>
    <w:rsid w:val="00626C57"/>
    <w:rsid w:val="00632F57"/>
    <w:rsid w:val="00636F80"/>
    <w:rsid w:val="006400D1"/>
    <w:rsid w:val="00642692"/>
    <w:rsid w:val="00642D05"/>
    <w:rsid w:val="006443AB"/>
    <w:rsid w:val="006465E0"/>
    <w:rsid w:val="00647482"/>
    <w:rsid w:val="00664901"/>
    <w:rsid w:val="00671ADA"/>
    <w:rsid w:val="00677898"/>
    <w:rsid w:val="006824A7"/>
    <w:rsid w:val="00682ACC"/>
    <w:rsid w:val="006933B3"/>
    <w:rsid w:val="00697D2D"/>
    <w:rsid w:val="006A0D3E"/>
    <w:rsid w:val="006A1423"/>
    <w:rsid w:val="006A4A83"/>
    <w:rsid w:val="006B124F"/>
    <w:rsid w:val="006B3F45"/>
    <w:rsid w:val="006B7547"/>
    <w:rsid w:val="006C0D81"/>
    <w:rsid w:val="006C191D"/>
    <w:rsid w:val="006C338B"/>
    <w:rsid w:val="006C590D"/>
    <w:rsid w:val="006C5BAE"/>
    <w:rsid w:val="006D6AB7"/>
    <w:rsid w:val="006E532C"/>
    <w:rsid w:val="006E641A"/>
    <w:rsid w:val="006F1DF5"/>
    <w:rsid w:val="006F310C"/>
    <w:rsid w:val="006F39C7"/>
    <w:rsid w:val="00711C16"/>
    <w:rsid w:val="00713C98"/>
    <w:rsid w:val="00715694"/>
    <w:rsid w:val="00735E7A"/>
    <w:rsid w:val="00736142"/>
    <w:rsid w:val="00741661"/>
    <w:rsid w:val="00742AF4"/>
    <w:rsid w:val="007559D7"/>
    <w:rsid w:val="007572AC"/>
    <w:rsid w:val="00757D4D"/>
    <w:rsid w:val="00761306"/>
    <w:rsid w:val="00763849"/>
    <w:rsid w:val="0077549A"/>
    <w:rsid w:val="00781398"/>
    <w:rsid w:val="00792770"/>
    <w:rsid w:val="0079682F"/>
    <w:rsid w:val="007A142E"/>
    <w:rsid w:val="007B7574"/>
    <w:rsid w:val="007C0107"/>
    <w:rsid w:val="007C3F59"/>
    <w:rsid w:val="007D2F8E"/>
    <w:rsid w:val="007E2F91"/>
    <w:rsid w:val="007F0090"/>
    <w:rsid w:val="007F2770"/>
    <w:rsid w:val="007F3810"/>
    <w:rsid w:val="00801BF0"/>
    <w:rsid w:val="008123E5"/>
    <w:rsid w:val="00813839"/>
    <w:rsid w:val="00816551"/>
    <w:rsid w:val="008171B0"/>
    <w:rsid w:val="008202AE"/>
    <w:rsid w:val="00821927"/>
    <w:rsid w:val="00825233"/>
    <w:rsid w:val="00826E40"/>
    <w:rsid w:val="00831029"/>
    <w:rsid w:val="00836A3F"/>
    <w:rsid w:val="00845596"/>
    <w:rsid w:val="008537E4"/>
    <w:rsid w:val="00860BA5"/>
    <w:rsid w:val="00862695"/>
    <w:rsid w:val="0086619A"/>
    <w:rsid w:val="00873B6A"/>
    <w:rsid w:val="00875576"/>
    <w:rsid w:val="008778BB"/>
    <w:rsid w:val="008922EC"/>
    <w:rsid w:val="0089713F"/>
    <w:rsid w:val="00897C21"/>
    <w:rsid w:val="008B2248"/>
    <w:rsid w:val="008C0756"/>
    <w:rsid w:val="008C4F65"/>
    <w:rsid w:val="008D1153"/>
    <w:rsid w:val="008D3196"/>
    <w:rsid w:val="008D557A"/>
    <w:rsid w:val="008E61A1"/>
    <w:rsid w:val="008E7405"/>
    <w:rsid w:val="009102B8"/>
    <w:rsid w:val="00910577"/>
    <w:rsid w:val="00912B6A"/>
    <w:rsid w:val="00915CA7"/>
    <w:rsid w:val="009208C1"/>
    <w:rsid w:val="00926965"/>
    <w:rsid w:val="00930653"/>
    <w:rsid w:val="00936CBD"/>
    <w:rsid w:val="009376CA"/>
    <w:rsid w:val="00937A31"/>
    <w:rsid w:val="00942A74"/>
    <w:rsid w:val="00950555"/>
    <w:rsid w:val="00953FCC"/>
    <w:rsid w:val="00954191"/>
    <w:rsid w:val="009563AA"/>
    <w:rsid w:val="00960375"/>
    <w:rsid w:val="00962DCB"/>
    <w:rsid w:val="00985C11"/>
    <w:rsid w:val="0098603A"/>
    <w:rsid w:val="00986073"/>
    <w:rsid w:val="009A2311"/>
    <w:rsid w:val="009A619B"/>
    <w:rsid w:val="009A7479"/>
    <w:rsid w:val="009B0FE1"/>
    <w:rsid w:val="009B6539"/>
    <w:rsid w:val="009B69EB"/>
    <w:rsid w:val="009B7DCA"/>
    <w:rsid w:val="009C03CC"/>
    <w:rsid w:val="009C2444"/>
    <w:rsid w:val="009C3A63"/>
    <w:rsid w:val="009C7C3B"/>
    <w:rsid w:val="009E02BF"/>
    <w:rsid w:val="009F2A43"/>
    <w:rsid w:val="009F5348"/>
    <w:rsid w:val="009F7AC1"/>
    <w:rsid w:val="00A0455C"/>
    <w:rsid w:val="00A04795"/>
    <w:rsid w:val="00A11424"/>
    <w:rsid w:val="00A1454C"/>
    <w:rsid w:val="00A160AA"/>
    <w:rsid w:val="00A20923"/>
    <w:rsid w:val="00A2133E"/>
    <w:rsid w:val="00A221AE"/>
    <w:rsid w:val="00A221E3"/>
    <w:rsid w:val="00A224A5"/>
    <w:rsid w:val="00A24233"/>
    <w:rsid w:val="00A24AED"/>
    <w:rsid w:val="00A37A9D"/>
    <w:rsid w:val="00A41B9E"/>
    <w:rsid w:val="00A43F43"/>
    <w:rsid w:val="00A54653"/>
    <w:rsid w:val="00A54D89"/>
    <w:rsid w:val="00A64045"/>
    <w:rsid w:val="00A66129"/>
    <w:rsid w:val="00A721AB"/>
    <w:rsid w:val="00A74A54"/>
    <w:rsid w:val="00A8099F"/>
    <w:rsid w:val="00A8343A"/>
    <w:rsid w:val="00A83F3E"/>
    <w:rsid w:val="00A97981"/>
    <w:rsid w:val="00AA0140"/>
    <w:rsid w:val="00AA0256"/>
    <w:rsid w:val="00AB3D8D"/>
    <w:rsid w:val="00AB4DC8"/>
    <w:rsid w:val="00AC4256"/>
    <w:rsid w:val="00AE22DC"/>
    <w:rsid w:val="00AE358D"/>
    <w:rsid w:val="00AF3824"/>
    <w:rsid w:val="00AF4E7B"/>
    <w:rsid w:val="00AF5A25"/>
    <w:rsid w:val="00B137AB"/>
    <w:rsid w:val="00B14802"/>
    <w:rsid w:val="00B1711A"/>
    <w:rsid w:val="00B24ACD"/>
    <w:rsid w:val="00B2544F"/>
    <w:rsid w:val="00B25600"/>
    <w:rsid w:val="00B27F03"/>
    <w:rsid w:val="00B3644D"/>
    <w:rsid w:val="00B41809"/>
    <w:rsid w:val="00B42D2B"/>
    <w:rsid w:val="00B4559D"/>
    <w:rsid w:val="00B576F0"/>
    <w:rsid w:val="00B704AA"/>
    <w:rsid w:val="00B77898"/>
    <w:rsid w:val="00B84AAB"/>
    <w:rsid w:val="00B974E7"/>
    <w:rsid w:val="00BA0F26"/>
    <w:rsid w:val="00BA11F0"/>
    <w:rsid w:val="00BA26A2"/>
    <w:rsid w:val="00BA319E"/>
    <w:rsid w:val="00BA426F"/>
    <w:rsid w:val="00BB077B"/>
    <w:rsid w:val="00BB170D"/>
    <w:rsid w:val="00BB2FAF"/>
    <w:rsid w:val="00BB3955"/>
    <w:rsid w:val="00BB4095"/>
    <w:rsid w:val="00BB57FB"/>
    <w:rsid w:val="00BC7D1E"/>
    <w:rsid w:val="00BD3337"/>
    <w:rsid w:val="00BD60BD"/>
    <w:rsid w:val="00BD7C23"/>
    <w:rsid w:val="00BE4E61"/>
    <w:rsid w:val="00BF17A2"/>
    <w:rsid w:val="00BF1B4E"/>
    <w:rsid w:val="00BF26F3"/>
    <w:rsid w:val="00BF2F91"/>
    <w:rsid w:val="00BF5548"/>
    <w:rsid w:val="00C01B47"/>
    <w:rsid w:val="00C06338"/>
    <w:rsid w:val="00C2550D"/>
    <w:rsid w:val="00C34249"/>
    <w:rsid w:val="00C3433B"/>
    <w:rsid w:val="00C3587A"/>
    <w:rsid w:val="00C40C52"/>
    <w:rsid w:val="00C4682D"/>
    <w:rsid w:val="00C510BE"/>
    <w:rsid w:val="00C564AF"/>
    <w:rsid w:val="00C604E9"/>
    <w:rsid w:val="00C63D92"/>
    <w:rsid w:val="00C72EB1"/>
    <w:rsid w:val="00C73A0C"/>
    <w:rsid w:val="00C92328"/>
    <w:rsid w:val="00C94D1C"/>
    <w:rsid w:val="00CB2F7E"/>
    <w:rsid w:val="00CC1E85"/>
    <w:rsid w:val="00CC3C12"/>
    <w:rsid w:val="00CD30FD"/>
    <w:rsid w:val="00CE00DF"/>
    <w:rsid w:val="00CE2726"/>
    <w:rsid w:val="00CE2932"/>
    <w:rsid w:val="00CE6BA5"/>
    <w:rsid w:val="00CF2153"/>
    <w:rsid w:val="00CF68DB"/>
    <w:rsid w:val="00CF7450"/>
    <w:rsid w:val="00D07282"/>
    <w:rsid w:val="00D109BE"/>
    <w:rsid w:val="00D2255F"/>
    <w:rsid w:val="00D250C1"/>
    <w:rsid w:val="00D257CC"/>
    <w:rsid w:val="00D334DB"/>
    <w:rsid w:val="00D35292"/>
    <w:rsid w:val="00D370E7"/>
    <w:rsid w:val="00D45767"/>
    <w:rsid w:val="00D461F2"/>
    <w:rsid w:val="00D53445"/>
    <w:rsid w:val="00D53F93"/>
    <w:rsid w:val="00D7018E"/>
    <w:rsid w:val="00D73AFD"/>
    <w:rsid w:val="00D818AA"/>
    <w:rsid w:val="00D83BF2"/>
    <w:rsid w:val="00D8617D"/>
    <w:rsid w:val="00D93D93"/>
    <w:rsid w:val="00DA36E0"/>
    <w:rsid w:val="00DA558C"/>
    <w:rsid w:val="00DB2E83"/>
    <w:rsid w:val="00DB6626"/>
    <w:rsid w:val="00DB6D5A"/>
    <w:rsid w:val="00DD3E4D"/>
    <w:rsid w:val="00DD4989"/>
    <w:rsid w:val="00DD6842"/>
    <w:rsid w:val="00DD6947"/>
    <w:rsid w:val="00DE1F8E"/>
    <w:rsid w:val="00DE411C"/>
    <w:rsid w:val="00DE5501"/>
    <w:rsid w:val="00DF0DF4"/>
    <w:rsid w:val="00E0169F"/>
    <w:rsid w:val="00E11223"/>
    <w:rsid w:val="00E12AD5"/>
    <w:rsid w:val="00E21D07"/>
    <w:rsid w:val="00E230CC"/>
    <w:rsid w:val="00E23D8A"/>
    <w:rsid w:val="00E26AF5"/>
    <w:rsid w:val="00E30B88"/>
    <w:rsid w:val="00E32A2C"/>
    <w:rsid w:val="00E41184"/>
    <w:rsid w:val="00E47413"/>
    <w:rsid w:val="00E5369D"/>
    <w:rsid w:val="00E566E2"/>
    <w:rsid w:val="00E6032B"/>
    <w:rsid w:val="00E61B05"/>
    <w:rsid w:val="00E6634C"/>
    <w:rsid w:val="00E674B2"/>
    <w:rsid w:val="00E70925"/>
    <w:rsid w:val="00E769FD"/>
    <w:rsid w:val="00E76E84"/>
    <w:rsid w:val="00E83254"/>
    <w:rsid w:val="00E833BA"/>
    <w:rsid w:val="00E91C83"/>
    <w:rsid w:val="00EA1598"/>
    <w:rsid w:val="00EA20E3"/>
    <w:rsid w:val="00EA2371"/>
    <w:rsid w:val="00EC2CA9"/>
    <w:rsid w:val="00EC5C23"/>
    <w:rsid w:val="00EC614A"/>
    <w:rsid w:val="00ED70BD"/>
    <w:rsid w:val="00EE33D3"/>
    <w:rsid w:val="00EE3ABD"/>
    <w:rsid w:val="00EE7086"/>
    <w:rsid w:val="00EE7CBE"/>
    <w:rsid w:val="00EF0ACF"/>
    <w:rsid w:val="00EF49E1"/>
    <w:rsid w:val="00EF7138"/>
    <w:rsid w:val="00F01E1E"/>
    <w:rsid w:val="00F10A80"/>
    <w:rsid w:val="00F1413E"/>
    <w:rsid w:val="00F22DFA"/>
    <w:rsid w:val="00F26BD7"/>
    <w:rsid w:val="00F37440"/>
    <w:rsid w:val="00F44C12"/>
    <w:rsid w:val="00F473F6"/>
    <w:rsid w:val="00F53C24"/>
    <w:rsid w:val="00F608EC"/>
    <w:rsid w:val="00F60CAD"/>
    <w:rsid w:val="00F636C8"/>
    <w:rsid w:val="00F67717"/>
    <w:rsid w:val="00F71120"/>
    <w:rsid w:val="00F7371D"/>
    <w:rsid w:val="00F83CA6"/>
    <w:rsid w:val="00F8534C"/>
    <w:rsid w:val="00FA4307"/>
    <w:rsid w:val="00FA7766"/>
    <w:rsid w:val="00FA7CEC"/>
    <w:rsid w:val="00FB04CF"/>
    <w:rsid w:val="00FB3861"/>
    <w:rsid w:val="00FB7D01"/>
    <w:rsid w:val="00FC173D"/>
    <w:rsid w:val="00FC257F"/>
    <w:rsid w:val="00FC2CD7"/>
    <w:rsid w:val="00FC6893"/>
    <w:rsid w:val="00FD5424"/>
    <w:rsid w:val="00FD552F"/>
    <w:rsid w:val="00FE0879"/>
    <w:rsid w:val="00FE0A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70CD02"/>
  <w15:docId w15:val="{636C9FE0-650A-4E25-8C38-99A27D19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13F"/>
    <w:pPr>
      <w:spacing w:after="200" w:line="276" w:lineRule="auto"/>
    </w:pPr>
    <w:rPr>
      <w:rFonts w:eastAsia="Calibri" w:cs="Arial"/>
      <w:sz w:val="22"/>
      <w:szCs w:val="22"/>
      <w:lang w:eastAsia="en-US"/>
    </w:rPr>
  </w:style>
  <w:style w:type="paragraph" w:styleId="1">
    <w:name w:val="heading 1"/>
    <w:basedOn w:val="a"/>
    <w:next w:val="a"/>
    <w:link w:val="1Char"/>
    <w:uiPriority w:val="9"/>
    <w:qFormat/>
    <w:rsid w:val="007813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7813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7813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unhideWhenUsed/>
    <w:qFormat/>
    <w:rsid w:val="0078139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unhideWhenUsed/>
    <w:qFormat/>
    <w:rsid w:val="0078139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Πολύχρωμη λίστα - ΄Εμφαση 11"/>
    <w:basedOn w:val="a"/>
    <w:uiPriority w:val="34"/>
    <w:qFormat/>
    <w:rsid w:val="0039113F"/>
    <w:pPr>
      <w:ind w:left="720"/>
      <w:contextualSpacing/>
    </w:pPr>
    <w:rPr>
      <w:rFonts w:ascii="Calibri" w:hAnsi="Calibri" w:cs="Times New Roman"/>
    </w:rPr>
  </w:style>
  <w:style w:type="paragraph" w:customStyle="1" w:styleId="DocumentTitle">
    <w:name w:val="Document Title"/>
    <w:basedOn w:val="a3"/>
    <w:qFormat/>
    <w:rsid w:val="0039113F"/>
    <w:pPr>
      <w:pBdr>
        <w:bottom w:val="none" w:sz="0" w:space="0" w:color="auto"/>
      </w:pBdr>
      <w:spacing w:after="680" w:line="204" w:lineRule="auto"/>
      <w:ind w:right="1418"/>
    </w:pPr>
    <w:rPr>
      <w:rFonts w:ascii="Cambria" w:eastAsia="Times New Roman" w:hAnsi="Cambria"/>
      <w:b/>
      <w:color w:val="C0504D"/>
      <w:spacing w:val="0"/>
      <w:kern w:val="0"/>
      <w:sz w:val="88"/>
      <w:szCs w:val="74"/>
      <w:lang w:val="en-GB"/>
    </w:rPr>
  </w:style>
  <w:style w:type="character" w:styleId="-">
    <w:name w:val="Hyperlink"/>
    <w:uiPriority w:val="99"/>
    <w:unhideWhenUsed/>
    <w:rsid w:val="0039113F"/>
    <w:rPr>
      <w:color w:val="0000FF"/>
      <w:u w:val="single"/>
    </w:rPr>
  </w:style>
  <w:style w:type="paragraph" w:styleId="a3">
    <w:name w:val="Title"/>
    <w:basedOn w:val="a"/>
    <w:next w:val="a"/>
    <w:link w:val="Char"/>
    <w:uiPriority w:val="10"/>
    <w:qFormat/>
    <w:rsid w:val="0039113F"/>
    <w:pPr>
      <w:pBdr>
        <w:bottom w:val="single" w:sz="8" w:space="4" w:color="4F81BD"/>
      </w:pBdr>
      <w:spacing w:after="300" w:line="240" w:lineRule="auto"/>
      <w:contextualSpacing/>
    </w:pPr>
    <w:rPr>
      <w:rFonts w:ascii="Calibri" w:eastAsia="MS Gothic" w:hAnsi="Calibri" w:cs="Times New Roman"/>
      <w:color w:val="17365D"/>
      <w:spacing w:val="5"/>
      <w:kern w:val="28"/>
      <w:sz w:val="52"/>
      <w:szCs w:val="52"/>
    </w:rPr>
  </w:style>
  <w:style w:type="character" w:customStyle="1" w:styleId="Char">
    <w:name w:val="Τίτλος Char"/>
    <w:link w:val="a3"/>
    <w:uiPriority w:val="10"/>
    <w:rsid w:val="0039113F"/>
    <w:rPr>
      <w:rFonts w:ascii="Calibri" w:eastAsia="MS Gothic" w:hAnsi="Calibri" w:cs="Times New Roman"/>
      <w:color w:val="17365D"/>
      <w:spacing w:val="5"/>
      <w:kern w:val="28"/>
      <w:sz w:val="52"/>
      <w:szCs w:val="52"/>
      <w:lang w:val="el-GR"/>
    </w:rPr>
  </w:style>
  <w:style w:type="paragraph" w:styleId="a4">
    <w:name w:val="header"/>
    <w:basedOn w:val="a"/>
    <w:link w:val="Char0"/>
    <w:uiPriority w:val="99"/>
    <w:unhideWhenUsed/>
    <w:rsid w:val="003072C9"/>
    <w:pPr>
      <w:tabs>
        <w:tab w:val="center" w:pos="4513"/>
        <w:tab w:val="right" w:pos="9026"/>
      </w:tabs>
    </w:pPr>
    <w:rPr>
      <w:rFonts w:cs="Times New Roman"/>
    </w:rPr>
  </w:style>
  <w:style w:type="character" w:customStyle="1" w:styleId="Char0">
    <w:name w:val="Κεφαλίδα Char"/>
    <w:link w:val="a4"/>
    <w:uiPriority w:val="99"/>
    <w:rsid w:val="003072C9"/>
    <w:rPr>
      <w:rFonts w:eastAsia="Calibri" w:cs="Arial"/>
      <w:sz w:val="22"/>
      <w:szCs w:val="22"/>
      <w:lang w:eastAsia="en-US"/>
    </w:rPr>
  </w:style>
  <w:style w:type="paragraph" w:styleId="a5">
    <w:name w:val="footer"/>
    <w:basedOn w:val="a"/>
    <w:link w:val="Char1"/>
    <w:uiPriority w:val="99"/>
    <w:unhideWhenUsed/>
    <w:rsid w:val="003072C9"/>
    <w:pPr>
      <w:tabs>
        <w:tab w:val="center" w:pos="4513"/>
        <w:tab w:val="right" w:pos="9026"/>
      </w:tabs>
    </w:pPr>
    <w:rPr>
      <w:rFonts w:cs="Times New Roman"/>
    </w:rPr>
  </w:style>
  <w:style w:type="character" w:customStyle="1" w:styleId="Char1">
    <w:name w:val="Υποσέλιδο Char"/>
    <w:link w:val="a5"/>
    <w:uiPriority w:val="99"/>
    <w:rsid w:val="003072C9"/>
    <w:rPr>
      <w:rFonts w:eastAsia="Calibri" w:cs="Arial"/>
      <w:sz w:val="22"/>
      <w:szCs w:val="22"/>
      <w:lang w:eastAsia="en-US"/>
    </w:rPr>
  </w:style>
  <w:style w:type="paragraph" w:styleId="a6">
    <w:name w:val="Balloon Text"/>
    <w:basedOn w:val="a"/>
    <w:link w:val="Char2"/>
    <w:uiPriority w:val="99"/>
    <w:semiHidden/>
    <w:unhideWhenUsed/>
    <w:rsid w:val="00B4559D"/>
    <w:pPr>
      <w:spacing w:after="0" w:line="240" w:lineRule="auto"/>
    </w:pPr>
    <w:rPr>
      <w:rFonts w:ascii="Segoe UI" w:hAnsi="Segoe UI" w:cs="Times New Roman"/>
      <w:sz w:val="18"/>
      <w:szCs w:val="18"/>
    </w:rPr>
  </w:style>
  <w:style w:type="character" w:customStyle="1" w:styleId="Char2">
    <w:name w:val="Κείμενο πλαισίου Char"/>
    <w:link w:val="a6"/>
    <w:uiPriority w:val="99"/>
    <w:semiHidden/>
    <w:rsid w:val="00B4559D"/>
    <w:rPr>
      <w:rFonts w:ascii="Segoe UI" w:eastAsia="Calibri" w:hAnsi="Segoe UI" w:cs="Segoe UI"/>
      <w:sz w:val="18"/>
      <w:szCs w:val="18"/>
      <w:lang w:eastAsia="en-US"/>
    </w:rPr>
  </w:style>
  <w:style w:type="character" w:styleId="-0">
    <w:name w:val="FollowedHyperlink"/>
    <w:basedOn w:val="a0"/>
    <w:uiPriority w:val="99"/>
    <w:semiHidden/>
    <w:unhideWhenUsed/>
    <w:rsid w:val="004509BA"/>
    <w:rPr>
      <w:color w:val="800080" w:themeColor="followedHyperlink"/>
      <w:u w:val="single"/>
    </w:rPr>
  </w:style>
  <w:style w:type="character" w:customStyle="1" w:styleId="1Char">
    <w:name w:val="Επικεφαλίδα 1 Char"/>
    <w:basedOn w:val="a0"/>
    <w:link w:val="1"/>
    <w:uiPriority w:val="9"/>
    <w:rsid w:val="00781398"/>
    <w:rPr>
      <w:rFonts w:asciiTheme="majorHAnsi" w:eastAsiaTheme="majorEastAsia" w:hAnsiTheme="majorHAnsi" w:cstheme="majorBidi"/>
      <w:color w:val="365F91" w:themeColor="accent1" w:themeShade="BF"/>
      <w:sz w:val="32"/>
      <w:szCs w:val="32"/>
      <w:lang w:eastAsia="en-US"/>
    </w:rPr>
  </w:style>
  <w:style w:type="character" w:customStyle="1" w:styleId="2Char">
    <w:name w:val="Επικεφαλίδα 2 Char"/>
    <w:basedOn w:val="a0"/>
    <w:link w:val="2"/>
    <w:uiPriority w:val="9"/>
    <w:rsid w:val="00781398"/>
    <w:rPr>
      <w:rFonts w:asciiTheme="majorHAnsi" w:eastAsiaTheme="majorEastAsia" w:hAnsiTheme="majorHAnsi" w:cstheme="majorBidi"/>
      <w:color w:val="365F91" w:themeColor="accent1" w:themeShade="BF"/>
      <w:sz w:val="26"/>
      <w:szCs w:val="26"/>
      <w:lang w:eastAsia="en-US"/>
    </w:rPr>
  </w:style>
  <w:style w:type="character" w:customStyle="1" w:styleId="3Char">
    <w:name w:val="Επικεφαλίδα 3 Char"/>
    <w:basedOn w:val="a0"/>
    <w:link w:val="3"/>
    <w:uiPriority w:val="9"/>
    <w:rsid w:val="00781398"/>
    <w:rPr>
      <w:rFonts w:asciiTheme="majorHAnsi" w:eastAsiaTheme="majorEastAsia" w:hAnsiTheme="majorHAnsi" w:cstheme="majorBidi"/>
      <w:color w:val="243F60" w:themeColor="accent1" w:themeShade="7F"/>
      <w:sz w:val="24"/>
      <w:szCs w:val="24"/>
      <w:lang w:eastAsia="en-US"/>
    </w:rPr>
  </w:style>
  <w:style w:type="character" w:customStyle="1" w:styleId="4Char">
    <w:name w:val="Επικεφαλίδα 4 Char"/>
    <w:basedOn w:val="a0"/>
    <w:link w:val="4"/>
    <w:uiPriority w:val="9"/>
    <w:rsid w:val="00781398"/>
    <w:rPr>
      <w:rFonts w:asciiTheme="majorHAnsi" w:eastAsiaTheme="majorEastAsia" w:hAnsiTheme="majorHAnsi" w:cstheme="majorBidi"/>
      <w:i/>
      <w:iCs/>
      <w:color w:val="365F91" w:themeColor="accent1" w:themeShade="BF"/>
      <w:sz w:val="22"/>
      <w:szCs w:val="22"/>
      <w:lang w:eastAsia="en-US"/>
    </w:rPr>
  </w:style>
  <w:style w:type="character" w:customStyle="1" w:styleId="5Char">
    <w:name w:val="Επικεφαλίδα 5 Char"/>
    <w:basedOn w:val="a0"/>
    <w:link w:val="5"/>
    <w:uiPriority w:val="9"/>
    <w:rsid w:val="00781398"/>
    <w:rPr>
      <w:rFonts w:asciiTheme="majorHAnsi" w:eastAsiaTheme="majorEastAsia" w:hAnsiTheme="majorHAnsi" w:cstheme="majorBidi"/>
      <w:color w:val="365F91" w:themeColor="accent1" w:themeShade="BF"/>
      <w:sz w:val="22"/>
      <w:szCs w:val="22"/>
      <w:lang w:eastAsia="en-US"/>
    </w:rPr>
  </w:style>
  <w:style w:type="paragraph" w:styleId="a7">
    <w:name w:val="Intense Quote"/>
    <w:basedOn w:val="a"/>
    <w:next w:val="a"/>
    <w:link w:val="Char3"/>
    <w:uiPriority w:val="60"/>
    <w:qFormat/>
    <w:rsid w:val="007813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3">
    <w:name w:val="Έντονο απόσπ. Char"/>
    <w:basedOn w:val="a0"/>
    <w:link w:val="a7"/>
    <w:uiPriority w:val="60"/>
    <w:rsid w:val="00781398"/>
    <w:rPr>
      <w:rFonts w:eastAsia="Calibri" w:cs="Arial"/>
      <w:i/>
      <w:iCs/>
      <w:color w:val="4F81BD" w:themeColor="accent1"/>
      <w:sz w:val="22"/>
      <w:szCs w:val="22"/>
      <w:lang w:eastAsia="en-US"/>
    </w:rPr>
  </w:style>
  <w:style w:type="paragraph" w:styleId="a8">
    <w:name w:val="footnote text"/>
    <w:basedOn w:val="a"/>
    <w:link w:val="Char4"/>
    <w:uiPriority w:val="99"/>
    <w:semiHidden/>
    <w:unhideWhenUsed/>
    <w:rsid w:val="0077549A"/>
    <w:pPr>
      <w:spacing w:after="0" w:line="240" w:lineRule="auto"/>
    </w:pPr>
    <w:rPr>
      <w:sz w:val="20"/>
      <w:szCs w:val="20"/>
    </w:rPr>
  </w:style>
  <w:style w:type="character" w:customStyle="1" w:styleId="Char4">
    <w:name w:val="Κείμενο υποσημείωσης Char"/>
    <w:basedOn w:val="a0"/>
    <w:link w:val="a8"/>
    <w:uiPriority w:val="99"/>
    <w:semiHidden/>
    <w:rsid w:val="0077549A"/>
    <w:rPr>
      <w:rFonts w:eastAsia="Calibri" w:cs="Arial"/>
      <w:lang w:eastAsia="en-US"/>
    </w:rPr>
  </w:style>
  <w:style w:type="character" w:styleId="a9">
    <w:name w:val="footnote reference"/>
    <w:basedOn w:val="a0"/>
    <w:uiPriority w:val="99"/>
    <w:semiHidden/>
    <w:unhideWhenUsed/>
    <w:rsid w:val="0077549A"/>
    <w:rPr>
      <w:vertAlign w:val="superscript"/>
    </w:rPr>
  </w:style>
  <w:style w:type="character" w:customStyle="1" w:styleId="10">
    <w:name w:val="Ανεπίλυτη αναφορά1"/>
    <w:basedOn w:val="a0"/>
    <w:uiPriority w:val="99"/>
    <w:semiHidden/>
    <w:unhideWhenUsed/>
    <w:rsid w:val="00775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2683">
      <w:bodyDiv w:val="1"/>
      <w:marLeft w:val="0"/>
      <w:marRight w:val="0"/>
      <w:marTop w:val="0"/>
      <w:marBottom w:val="0"/>
      <w:divBdr>
        <w:top w:val="none" w:sz="0" w:space="0" w:color="auto"/>
        <w:left w:val="none" w:sz="0" w:space="0" w:color="auto"/>
        <w:bottom w:val="none" w:sz="0" w:space="0" w:color="auto"/>
        <w:right w:val="none" w:sz="0" w:space="0" w:color="auto"/>
      </w:divBdr>
    </w:div>
    <w:div w:id="232202153">
      <w:bodyDiv w:val="1"/>
      <w:marLeft w:val="0"/>
      <w:marRight w:val="0"/>
      <w:marTop w:val="0"/>
      <w:marBottom w:val="0"/>
      <w:divBdr>
        <w:top w:val="none" w:sz="0" w:space="0" w:color="auto"/>
        <w:left w:val="none" w:sz="0" w:space="0" w:color="auto"/>
        <w:bottom w:val="none" w:sz="0" w:space="0" w:color="auto"/>
        <w:right w:val="none" w:sz="0" w:space="0" w:color="auto"/>
      </w:divBdr>
    </w:div>
    <w:div w:id="623460767">
      <w:bodyDiv w:val="1"/>
      <w:marLeft w:val="0"/>
      <w:marRight w:val="0"/>
      <w:marTop w:val="0"/>
      <w:marBottom w:val="0"/>
      <w:divBdr>
        <w:top w:val="none" w:sz="0" w:space="0" w:color="auto"/>
        <w:left w:val="none" w:sz="0" w:space="0" w:color="auto"/>
        <w:bottom w:val="none" w:sz="0" w:space="0" w:color="auto"/>
        <w:right w:val="none" w:sz="0" w:space="0" w:color="auto"/>
      </w:divBdr>
    </w:div>
    <w:div w:id="677195392">
      <w:bodyDiv w:val="1"/>
      <w:marLeft w:val="0"/>
      <w:marRight w:val="0"/>
      <w:marTop w:val="0"/>
      <w:marBottom w:val="0"/>
      <w:divBdr>
        <w:top w:val="none" w:sz="0" w:space="0" w:color="auto"/>
        <w:left w:val="none" w:sz="0" w:space="0" w:color="auto"/>
        <w:bottom w:val="none" w:sz="0" w:space="0" w:color="auto"/>
        <w:right w:val="none" w:sz="0" w:space="0" w:color="auto"/>
      </w:divBdr>
    </w:div>
    <w:div w:id="696008915">
      <w:bodyDiv w:val="1"/>
      <w:marLeft w:val="0"/>
      <w:marRight w:val="0"/>
      <w:marTop w:val="0"/>
      <w:marBottom w:val="0"/>
      <w:divBdr>
        <w:top w:val="none" w:sz="0" w:space="0" w:color="auto"/>
        <w:left w:val="none" w:sz="0" w:space="0" w:color="auto"/>
        <w:bottom w:val="none" w:sz="0" w:space="0" w:color="auto"/>
        <w:right w:val="none" w:sz="0" w:space="0" w:color="auto"/>
      </w:divBdr>
    </w:div>
    <w:div w:id="697125546">
      <w:bodyDiv w:val="1"/>
      <w:marLeft w:val="0"/>
      <w:marRight w:val="0"/>
      <w:marTop w:val="0"/>
      <w:marBottom w:val="0"/>
      <w:divBdr>
        <w:top w:val="none" w:sz="0" w:space="0" w:color="auto"/>
        <w:left w:val="none" w:sz="0" w:space="0" w:color="auto"/>
        <w:bottom w:val="none" w:sz="0" w:space="0" w:color="auto"/>
        <w:right w:val="none" w:sz="0" w:space="0" w:color="auto"/>
      </w:divBdr>
    </w:div>
    <w:div w:id="889460369">
      <w:bodyDiv w:val="1"/>
      <w:marLeft w:val="0"/>
      <w:marRight w:val="0"/>
      <w:marTop w:val="0"/>
      <w:marBottom w:val="0"/>
      <w:divBdr>
        <w:top w:val="none" w:sz="0" w:space="0" w:color="auto"/>
        <w:left w:val="none" w:sz="0" w:space="0" w:color="auto"/>
        <w:bottom w:val="none" w:sz="0" w:space="0" w:color="auto"/>
        <w:right w:val="none" w:sz="0" w:space="0" w:color="auto"/>
      </w:divBdr>
    </w:div>
    <w:div w:id="904146110">
      <w:bodyDiv w:val="1"/>
      <w:marLeft w:val="0"/>
      <w:marRight w:val="0"/>
      <w:marTop w:val="0"/>
      <w:marBottom w:val="0"/>
      <w:divBdr>
        <w:top w:val="none" w:sz="0" w:space="0" w:color="auto"/>
        <w:left w:val="none" w:sz="0" w:space="0" w:color="auto"/>
        <w:bottom w:val="none" w:sz="0" w:space="0" w:color="auto"/>
        <w:right w:val="none" w:sz="0" w:space="0" w:color="auto"/>
      </w:divBdr>
      <w:divsChild>
        <w:div w:id="2076126812">
          <w:marLeft w:val="0"/>
          <w:marRight w:val="0"/>
          <w:marTop w:val="0"/>
          <w:marBottom w:val="0"/>
          <w:divBdr>
            <w:top w:val="none" w:sz="0" w:space="0" w:color="auto"/>
            <w:left w:val="none" w:sz="0" w:space="0" w:color="auto"/>
            <w:bottom w:val="none" w:sz="0" w:space="0" w:color="auto"/>
            <w:right w:val="none" w:sz="0" w:space="0" w:color="auto"/>
          </w:divBdr>
          <w:divsChild>
            <w:div w:id="872225954">
              <w:marLeft w:val="0"/>
              <w:marRight w:val="0"/>
              <w:marTop w:val="0"/>
              <w:marBottom w:val="0"/>
              <w:divBdr>
                <w:top w:val="none" w:sz="0" w:space="0" w:color="auto"/>
                <w:left w:val="none" w:sz="0" w:space="0" w:color="auto"/>
                <w:bottom w:val="none" w:sz="0" w:space="0" w:color="auto"/>
                <w:right w:val="none" w:sz="0" w:space="0" w:color="auto"/>
              </w:divBdr>
            </w:div>
            <w:div w:id="2025402384">
              <w:marLeft w:val="0"/>
              <w:marRight w:val="0"/>
              <w:marTop w:val="0"/>
              <w:marBottom w:val="0"/>
              <w:divBdr>
                <w:top w:val="none" w:sz="0" w:space="0" w:color="auto"/>
                <w:left w:val="none" w:sz="0" w:space="0" w:color="auto"/>
                <w:bottom w:val="none" w:sz="0" w:space="0" w:color="auto"/>
                <w:right w:val="none" w:sz="0" w:space="0" w:color="auto"/>
              </w:divBdr>
            </w:div>
          </w:divsChild>
        </w:div>
        <w:div w:id="671759609">
          <w:marLeft w:val="0"/>
          <w:marRight w:val="0"/>
          <w:marTop w:val="120"/>
          <w:marBottom w:val="0"/>
          <w:divBdr>
            <w:top w:val="none" w:sz="0" w:space="0" w:color="auto"/>
            <w:left w:val="none" w:sz="0" w:space="0" w:color="auto"/>
            <w:bottom w:val="none" w:sz="0" w:space="0" w:color="auto"/>
            <w:right w:val="none" w:sz="0" w:space="0" w:color="auto"/>
          </w:divBdr>
          <w:divsChild>
            <w:div w:id="372735023">
              <w:marLeft w:val="0"/>
              <w:marRight w:val="0"/>
              <w:marTop w:val="0"/>
              <w:marBottom w:val="0"/>
              <w:divBdr>
                <w:top w:val="none" w:sz="0" w:space="0" w:color="auto"/>
                <w:left w:val="none" w:sz="0" w:space="0" w:color="auto"/>
                <w:bottom w:val="none" w:sz="0" w:space="0" w:color="auto"/>
                <w:right w:val="none" w:sz="0" w:space="0" w:color="auto"/>
              </w:divBdr>
            </w:div>
            <w:div w:id="1340430113">
              <w:marLeft w:val="0"/>
              <w:marRight w:val="0"/>
              <w:marTop w:val="0"/>
              <w:marBottom w:val="0"/>
              <w:divBdr>
                <w:top w:val="none" w:sz="0" w:space="0" w:color="auto"/>
                <w:left w:val="none" w:sz="0" w:space="0" w:color="auto"/>
                <w:bottom w:val="none" w:sz="0" w:space="0" w:color="auto"/>
                <w:right w:val="none" w:sz="0" w:space="0" w:color="auto"/>
              </w:divBdr>
            </w:div>
            <w:div w:id="101823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1394">
      <w:bodyDiv w:val="1"/>
      <w:marLeft w:val="0"/>
      <w:marRight w:val="0"/>
      <w:marTop w:val="0"/>
      <w:marBottom w:val="0"/>
      <w:divBdr>
        <w:top w:val="none" w:sz="0" w:space="0" w:color="auto"/>
        <w:left w:val="none" w:sz="0" w:space="0" w:color="auto"/>
        <w:bottom w:val="none" w:sz="0" w:space="0" w:color="auto"/>
        <w:right w:val="none" w:sz="0" w:space="0" w:color="auto"/>
      </w:divBdr>
    </w:div>
    <w:div w:id="1108083082">
      <w:bodyDiv w:val="1"/>
      <w:marLeft w:val="0"/>
      <w:marRight w:val="0"/>
      <w:marTop w:val="0"/>
      <w:marBottom w:val="0"/>
      <w:divBdr>
        <w:top w:val="none" w:sz="0" w:space="0" w:color="auto"/>
        <w:left w:val="none" w:sz="0" w:space="0" w:color="auto"/>
        <w:bottom w:val="none" w:sz="0" w:space="0" w:color="auto"/>
        <w:right w:val="none" w:sz="0" w:space="0" w:color="auto"/>
      </w:divBdr>
    </w:div>
    <w:div w:id="1198812350">
      <w:bodyDiv w:val="1"/>
      <w:marLeft w:val="0"/>
      <w:marRight w:val="0"/>
      <w:marTop w:val="0"/>
      <w:marBottom w:val="0"/>
      <w:divBdr>
        <w:top w:val="none" w:sz="0" w:space="0" w:color="auto"/>
        <w:left w:val="none" w:sz="0" w:space="0" w:color="auto"/>
        <w:bottom w:val="none" w:sz="0" w:space="0" w:color="auto"/>
        <w:right w:val="none" w:sz="0" w:space="0" w:color="auto"/>
      </w:divBdr>
    </w:div>
    <w:div w:id="1250509162">
      <w:bodyDiv w:val="1"/>
      <w:marLeft w:val="0"/>
      <w:marRight w:val="0"/>
      <w:marTop w:val="0"/>
      <w:marBottom w:val="0"/>
      <w:divBdr>
        <w:top w:val="none" w:sz="0" w:space="0" w:color="auto"/>
        <w:left w:val="none" w:sz="0" w:space="0" w:color="auto"/>
        <w:bottom w:val="none" w:sz="0" w:space="0" w:color="auto"/>
        <w:right w:val="none" w:sz="0" w:space="0" w:color="auto"/>
      </w:divBdr>
    </w:div>
    <w:div w:id="1463421133">
      <w:bodyDiv w:val="1"/>
      <w:marLeft w:val="0"/>
      <w:marRight w:val="0"/>
      <w:marTop w:val="0"/>
      <w:marBottom w:val="0"/>
      <w:divBdr>
        <w:top w:val="none" w:sz="0" w:space="0" w:color="auto"/>
        <w:left w:val="none" w:sz="0" w:space="0" w:color="auto"/>
        <w:bottom w:val="none" w:sz="0" w:space="0" w:color="auto"/>
        <w:right w:val="none" w:sz="0" w:space="0" w:color="auto"/>
      </w:divBdr>
    </w:div>
    <w:div w:id="1631013664">
      <w:bodyDiv w:val="1"/>
      <w:marLeft w:val="0"/>
      <w:marRight w:val="0"/>
      <w:marTop w:val="0"/>
      <w:marBottom w:val="0"/>
      <w:divBdr>
        <w:top w:val="none" w:sz="0" w:space="0" w:color="auto"/>
        <w:left w:val="none" w:sz="0" w:space="0" w:color="auto"/>
        <w:bottom w:val="none" w:sz="0" w:space="0" w:color="auto"/>
        <w:right w:val="none" w:sz="0" w:space="0" w:color="auto"/>
      </w:divBdr>
    </w:div>
    <w:div w:id="1756434523">
      <w:bodyDiv w:val="1"/>
      <w:marLeft w:val="0"/>
      <w:marRight w:val="0"/>
      <w:marTop w:val="0"/>
      <w:marBottom w:val="0"/>
      <w:divBdr>
        <w:top w:val="none" w:sz="0" w:space="0" w:color="auto"/>
        <w:left w:val="none" w:sz="0" w:space="0" w:color="auto"/>
        <w:bottom w:val="none" w:sz="0" w:space="0" w:color="auto"/>
        <w:right w:val="none" w:sz="0" w:space="0" w:color="auto"/>
      </w:divBdr>
    </w:div>
    <w:div w:id="1845897477">
      <w:bodyDiv w:val="1"/>
      <w:marLeft w:val="0"/>
      <w:marRight w:val="0"/>
      <w:marTop w:val="0"/>
      <w:marBottom w:val="0"/>
      <w:divBdr>
        <w:top w:val="none" w:sz="0" w:space="0" w:color="auto"/>
        <w:left w:val="none" w:sz="0" w:space="0" w:color="auto"/>
        <w:bottom w:val="none" w:sz="0" w:space="0" w:color="auto"/>
        <w:right w:val="none" w:sz="0" w:space="0" w:color="auto"/>
      </w:divBdr>
    </w:div>
    <w:div w:id="2085058511">
      <w:bodyDiv w:val="1"/>
      <w:marLeft w:val="0"/>
      <w:marRight w:val="0"/>
      <w:marTop w:val="0"/>
      <w:marBottom w:val="0"/>
      <w:divBdr>
        <w:top w:val="none" w:sz="0" w:space="0" w:color="auto"/>
        <w:left w:val="none" w:sz="0" w:space="0" w:color="auto"/>
        <w:bottom w:val="none" w:sz="0" w:space="0" w:color="auto"/>
        <w:right w:val="none" w:sz="0" w:space="0" w:color="auto"/>
      </w:divBdr>
    </w:div>
    <w:div w:id="2120025835">
      <w:bodyDiv w:val="1"/>
      <w:marLeft w:val="0"/>
      <w:marRight w:val="0"/>
      <w:marTop w:val="0"/>
      <w:marBottom w:val="0"/>
      <w:divBdr>
        <w:top w:val="none" w:sz="0" w:space="0" w:color="auto"/>
        <w:left w:val="none" w:sz="0" w:space="0" w:color="auto"/>
        <w:bottom w:val="none" w:sz="0" w:space="0" w:color="auto"/>
        <w:right w:val="none" w:sz="0" w:space="0" w:color="auto"/>
      </w:divBdr>
    </w:div>
    <w:div w:id="214245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l-GR" sz="1200">
                <a:latin typeface="Arial" panose="020B0604020202020204" pitchFamily="34" charset="0"/>
                <a:cs typeface="Arial" panose="020B0604020202020204" pitchFamily="34" charset="0"/>
              </a:rPr>
              <a:t>Κατανομή με βάση το εμβαδόν των πωληθέντων κατοικιών  2021| Πανελλαδικά</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l-G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2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34B3-43B8-BD8E-FBE2FC9B20E6}"/>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34B3-43B8-BD8E-FBE2FC9B20E6}"/>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5-34B3-43B8-BD8E-FBE2FC9B20E6}"/>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7-34B3-43B8-BD8E-FBE2FC9B20E6}"/>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9-34B3-43B8-BD8E-FBE2FC9B20E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l-GR"/>
              </a:p>
            </c:txPr>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Φύλλο1!$B$11:$B$15</c:f>
              <c:strCache>
                <c:ptCount val="5"/>
                <c:pt idx="0">
                  <c:v>1-50 τμ</c:v>
                </c:pt>
                <c:pt idx="1">
                  <c:v>51-75 τμ</c:v>
                </c:pt>
                <c:pt idx="2">
                  <c:v>76-100 τμ</c:v>
                </c:pt>
                <c:pt idx="3">
                  <c:v>101-150 τμ</c:v>
                </c:pt>
                <c:pt idx="4">
                  <c:v>άνω των 151 τμ</c:v>
                </c:pt>
              </c:strCache>
            </c:strRef>
          </c:cat>
          <c:val>
            <c:numRef>
              <c:f>Φύλλο1!$C$11:$C$15</c:f>
              <c:numCache>
                <c:formatCode>0%</c:formatCode>
                <c:ptCount val="5"/>
                <c:pt idx="0">
                  <c:v>0.192</c:v>
                </c:pt>
                <c:pt idx="1">
                  <c:v>0.185</c:v>
                </c:pt>
                <c:pt idx="2">
                  <c:v>0.21</c:v>
                </c:pt>
                <c:pt idx="3">
                  <c:v>0.25600000000000001</c:v>
                </c:pt>
                <c:pt idx="4">
                  <c:v>0.157</c:v>
                </c:pt>
              </c:numCache>
            </c:numRef>
          </c:val>
          <c:extLst>
            <c:ext xmlns:c16="http://schemas.microsoft.com/office/drawing/2014/chart" uri="{C3380CC4-5D6E-409C-BE32-E72D297353CC}">
              <c16:uniqueId val="{0000000A-34B3-43B8-BD8E-FBE2FC9B20E6}"/>
            </c:ext>
          </c:extLst>
        </c:ser>
        <c:dLbls>
          <c:showLegendKey val="0"/>
          <c:showVal val="0"/>
          <c:showCatName val="1"/>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l-G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l-GR" sz="1200">
                <a:latin typeface="Arial" panose="020B0604020202020204" pitchFamily="34" charset="0"/>
                <a:cs typeface="Arial" panose="020B0604020202020204" pitchFamily="34" charset="0"/>
              </a:rPr>
              <a:t>Κατανομή με βάση το εμβαδόν των πωληθέντων κατοικιών 2021 | Αττική</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l-G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138888888888889"/>
          <c:y val="0.25444152814231552"/>
          <c:w val="0.81388888888888888"/>
          <c:h val="0.66745953630796151"/>
        </c:manualLayout>
      </c:layout>
      <c:pie3DChart>
        <c:varyColors val="1"/>
        <c:ser>
          <c:idx val="0"/>
          <c:order val="0"/>
          <c:explosion val="24"/>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FE7A-477A-8BA6-7D5C1317D3F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FE7A-477A-8BA6-7D5C1317D3F1}"/>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5-FE7A-477A-8BA6-7D5C1317D3F1}"/>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7-FE7A-477A-8BA6-7D5C1317D3F1}"/>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9-FE7A-477A-8BA6-7D5C1317D3F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l-GR"/>
              </a:p>
            </c:txPr>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Φύλλο1!$F$11:$F$15</c:f>
              <c:strCache>
                <c:ptCount val="5"/>
                <c:pt idx="0">
                  <c:v>1-50 τμ</c:v>
                </c:pt>
                <c:pt idx="1">
                  <c:v>51-75 τμ</c:v>
                </c:pt>
                <c:pt idx="2">
                  <c:v>76-100 τμ</c:v>
                </c:pt>
                <c:pt idx="3">
                  <c:v>101-150 τμ</c:v>
                </c:pt>
                <c:pt idx="4">
                  <c:v>άνω των 151 τμ</c:v>
                </c:pt>
              </c:strCache>
            </c:strRef>
          </c:cat>
          <c:val>
            <c:numRef>
              <c:f>Φύλλο1!$G$11:$G$15</c:f>
              <c:numCache>
                <c:formatCode>0%</c:formatCode>
                <c:ptCount val="5"/>
                <c:pt idx="0">
                  <c:v>0.13400000000000001</c:v>
                </c:pt>
                <c:pt idx="1">
                  <c:v>0.23599999999999999</c:v>
                </c:pt>
                <c:pt idx="2">
                  <c:v>0.19900000000000001</c:v>
                </c:pt>
                <c:pt idx="3">
                  <c:v>0.20799999999999999</c:v>
                </c:pt>
                <c:pt idx="4">
                  <c:v>0.223</c:v>
                </c:pt>
              </c:numCache>
            </c:numRef>
          </c:val>
          <c:extLst>
            <c:ext xmlns:c16="http://schemas.microsoft.com/office/drawing/2014/chart" uri="{C3380CC4-5D6E-409C-BE32-E72D297353CC}">
              <c16:uniqueId val="{0000000A-FE7A-477A-8BA6-7D5C1317D3F1}"/>
            </c:ext>
          </c:extLst>
        </c:ser>
        <c:dLbls>
          <c:showLegendKey val="0"/>
          <c:showVal val="0"/>
          <c:showCatName val="1"/>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l-G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l-GR" sz="1200">
                <a:latin typeface="Arial" panose="020B0604020202020204" pitchFamily="34" charset="0"/>
                <a:cs typeface="Arial" panose="020B0604020202020204" pitchFamily="34" charset="0"/>
              </a:rPr>
              <a:t>Κατανομή με βάση το εμβαδόν των πωληθέντων κατοικιών 2021 | Θεσσαλονίκη</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l-G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2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0188-4ACE-B349-4733B67C1A22}"/>
              </c:ext>
            </c:extLst>
          </c:dPt>
          <c:dPt>
            <c:idx val="1"/>
            <c:bubble3D val="0"/>
            <c:explosion val="1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0188-4ACE-B349-4733B67C1A22}"/>
              </c:ext>
            </c:extLst>
          </c:dPt>
          <c:dPt>
            <c:idx val="2"/>
            <c:bubble3D val="0"/>
            <c:explosion val="34"/>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5-0188-4ACE-B349-4733B67C1A22}"/>
              </c:ext>
            </c:extLst>
          </c:dPt>
          <c:dPt>
            <c:idx val="3"/>
            <c:bubble3D val="0"/>
            <c:explosion val="19"/>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7-0188-4ACE-B349-4733B67C1A22}"/>
              </c:ext>
            </c:extLst>
          </c:dPt>
          <c:dPt>
            <c:idx val="4"/>
            <c:bubble3D val="0"/>
            <c:explosion val="26"/>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9-0188-4ACE-B349-4733B67C1A22}"/>
              </c:ext>
            </c:extLst>
          </c:dPt>
          <c:dLbls>
            <c:dLbl>
              <c:idx val="4"/>
              <c:layout>
                <c:manualLayout>
                  <c:x val="9.1608539204972875E-2"/>
                  <c:y val="8.011378978862210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188-4ACE-B349-4733B67C1A2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l-GR"/>
              </a:p>
            </c:txPr>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Φύλλο1!$J$11:$J$15</c:f>
              <c:strCache>
                <c:ptCount val="5"/>
                <c:pt idx="0">
                  <c:v>1-50 τμ</c:v>
                </c:pt>
                <c:pt idx="1">
                  <c:v>51-75 τμ</c:v>
                </c:pt>
                <c:pt idx="2">
                  <c:v>76-100 τμ</c:v>
                </c:pt>
                <c:pt idx="3">
                  <c:v>101-150 τμ</c:v>
                </c:pt>
                <c:pt idx="4">
                  <c:v>άνω των 151 τμ</c:v>
                </c:pt>
              </c:strCache>
            </c:strRef>
          </c:cat>
          <c:val>
            <c:numRef>
              <c:f>Φύλλο1!$K$11:$K$15</c:f>
              <c:numCache>
                <c:formatCode>0%</c:formatCode>
                <c:ptCount val="5"/>
                <c:pt idx="0">
                  <c:v>0.19400000000000001</c:v>
                </c:pt>
                <c:pt idx="1">
                  <c:v>0.224</c:v>
                </c:pt>
                <c:pt idx="2">
                  <c:v>0.24099999999999999</c:v>
                </c:pt>
                <c:pt idx="3">
                  <c:v>0.185</c:v>
                </c:pt>
                <c:pt idx="4">
                  <c:v>0.156</c:v>
                </c:pt>
              </c:numCache>
            </c:numRef>
          </c:val>
          <c:extLst>
            <c:ext xmlns:c16="http://schemas.microsoft.com/office/drawing/2014/chart" uri="{C3380CC4-5D6E-409C-BE32-E72D297353CC}">
              <c16:uniqueId val="{0000000A-0188-4ACE-B349-4733B67C1A22}"/>
            </c:ext>
          </c:extLst>
        </c:ser>
        <c:dLbls>
          <c:showLegendKey val="0"/>
          <c:showVal val="0"/>
          <c:showCatName val="1"/>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l-G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l-GR" sz="1200"/>
              <a:t>Κατανομή με βάση το εμβαδόν των πωληθέντων κατοικιών 2021 </a:t>
            </a:r>
            <a:r>
              <a:rPr lang="en-US" sz="1200"/>
              <a:t>|</a:t>
            </a:r>
            <a:r>
              <a:rPr lang="el-GR" sz="1200"/>
              <a:t>Υπόλοιπη Ελλάδα</a:t>
            </a:r>
          </a:p>
        </c:rich>
      </c:tx>
      <c:layout>
        <c:manualLayout>
          <c:xMode val="edge"/>
          <c:yMode val="edge"/>
          <c:x val="9.7848761408083462E-2"/>
          <c:y val="5.3838710336305239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l-G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16"/>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3976-479B-B563-986010BFF57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3976-479B-B563-986010BFF57E}"/>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5-3976-479B-B563-986010BFF57E}"/>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7-3976-479B-B563-986010BFF57E}"/>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9-3976-479B-B563-986010BFF57E}"/>
              </c:ext>
            </c:extLst>
          </c:dPt>
          <c:dLbls>
            <c:dLbl>
              <c:idx val="4"/>
              <c:layout>
                <c:manualLayout>
                  <c:x val="8.9317722181728634E-2"/>
                  <c:y val="8.835238007700399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976-479B-B563-986010BFF5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l-GR"/>
              </a:p>
            </c:txPr>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Φύλλο1!$N$11:$N$15</c:f>
              <c:strCache>
                <c:ptCount val="5"/>
                <c:pt idx="0">
                  <c:v>1-50 τμ</c:v>
                </c:pt>
                <c:pt idx="1">
                  <c:v>51-75 τμ</c:v>
                </c:pt>
                <c:pt idx="2">
                  <c:v>76-100 τμ</c:v>
                </c:pt>
                <c:pt idx="3">
                  <c:v>101-150 τμ</c:v>
                </c:pt>
                <c:pt idx="4">
                  <c:v>άνω των 151 τμ</c:v>
                </c:pt>
              </c:strCache>
            </c:strRef>
          </c:cat>
          <c:val>
            <c:numRef>
              <c:f>Φύλλο1!$O$11:$O$15</c:f>
              <c:numCache>
                <c:formatCode>0%</c:formatCode>
                <c:ptCount val="5"/>
                <c:pt idx="0">
                  <c:v>0.22800000000000001</c:v>
                </c:pt>
                <c:pt idx="1">
                  <c:v>0.13800000000000001</c:v>
                </c:pt>
                <c:pt idx="2">
                  <c:v>0.20599999999999999</c:v>
                </c:pt>
                <c:pt idx="3">
                  <c:v>0.31</c:v>
                </c:pt>
                <c:pt idx="4">
                  <c:v>0.11799999999999999</c:v>
                </c:pt>
              </c:numCache>
            </c:numRef>
          </c:val>
          <c:extLst>
            <c:ext xmlns:c16="http://schemas.microsoft.com/office/drawing/2014/chart" uri="{C3380CC4-5D6E-409C-BE32-E72D297353CC}">
              <c16:uniqueId val="{0000000A-3976-479B-B563-986010BFF57E}"/>
            </c:ext>
          </c:extLst>
        </c:ser>
        <c:dLbls>
          <c:showLegendKey val="0"/>
          <c:showVal val="0"/>
          <c:showCatName val="1"/>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6692F-5F01-4C18-958B-5D4DBE90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514</Words>
  <Characters>2778</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remaxgreece</Company>
  <LinksUpToDate>false</LinksUpToDate>
  <CharactersWithSpaces>3286</CharactersWithSpaces>
  <SharedDoc>false</SharedDoc>
  <HLinks>
    <vt:vector size="6" baseType="variant">
      <vt:variant>
        <vt:i4>3735672</vt:i4>
      </vt:variant>
      <vt:variant>
        <vt:i4>0</vt:i4>
      </vt:variant>
      <vt:variant>
        <vt:i4>0</vt:i4>
      </vt:variant>
      <vt:variant>
        <vt:i4>5</vt:i4>
      </vt:variant>
      <vt:variant>
        <vt:lpwstr>http://www.statistics.gr/el/statistics/-/publication/SJU24/2016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remaxgreece</dc:creator>
  <cp:lastModifiedBy>Remax</cp:lastModifiedBy>
  <cp:revision>4</cp:revision>
  <cp:lastPrinted>2021-02-09T13:34:00Z</cp:lastPrinted>
  <dcterms:created xsi:type="dcterms:W3CDTF">2022-06-09T07:57:00Z</dcterms:created>
  <dcterms:modified xsi:type="dcterms:W3CDTF">2022-06-16T07:16:00Z</dcterms:modified>
</cp:coreProperties>
</file>